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时尚中黑简体" w:hAnsi="时尚中黑简体" w:eastAsia="时尚中黑简体" w:cs="Times New Roman"/>
          <w:bCs w:val="0"/>
          <w:color w:val="000000" w:themeColor="text1"/>
          <w:sz w:val="44"/>
          <w:szCs w:val="44"/>
          <w14:textFill>
            <w14:solidFill>
              <w14:schemeClr w14:val="tx1"/>
            </w14:solidFill>
          </w14:textFill>
        </w:rPr>
      </w:pPr>
      <w:r>
        <w:rPr>
          <w:rFonts w:hint="eastAsia" w:ascii="时尚中黑简体" w:hAnsi="时尚中黑简体" w:eastAsia="时尚中黑简体" w:cs="Times New Roman"/>
          <w:bCs w:val="0"/>
          <w:color w:val="000000" w:themeColor="text1"/>
          <w:sz w:val="44"/>
          <w:szCs w:val="44"/>
          <w:lang w:eastAsia="zh-CN"/>
          <w14:textFill>
            <w14:solidFill>
              <w14:schemeClr w14:val="tx1"/>
            </w14:solidFill>
          </w14:textFill>
        </w:rPr>
        <w:t>西安牧源</w:t>
      </w:r>
      <w:r>
        <w:rPr>
          <w:rFonts w:hint="eastAsia" w:ascii="时尚中黑简体" w:hAnsi="时尚中黑简体" w:eastAsia="时尚中黑简体" w:cs="Times New Roman"/>
          <w:bCs w:val="0"/>
          <w:color w:val="000000" w:themeColor="text1"/>
          <w:sz w:val="44"/>
          <w:szCs w:val="44"/>
          <w14:textFill>
            <w14:solidFill>
              <w14:schemeClr w14:val="tx1"/>
            </w14:solidFill>
          </w14:textFill>
        </w:rPr>
        <w:t>饲料有限公司</w:t>
      </w:r>
    </w:p>
    <w:p>
      <w:pPr>
        <w:spacing w:line="520" w:lineRule="exact"/>
        <w:jc w:val="center"/>
        <w:rPr>
          <w:rFonts w:ascii="黑体" w:eastAsia="黑体" w:cs="Times New Roman"/>
          <w:sz w:val="28"/>
          <w:szCs w:val="28"/>
        </w:rPr>
      </w:pPr>
      <w:r>
        <w:rPr>
          <w:rFonts w:hint="eastAsia" w:ascii="黑体" w:hAnsi="黑体" w:eastAsia="黑体" w:cs="Times New Roman"/>
          <w:sz w:val="28"/>
          <w:szCs w:val="28"/>
        </w:rPr>
        <w:t>安全生产培训计划</w:t>
      </w:r>
    </w:p>
    <w:p>
      <w:pPr>
        <w:spacing w:line="340" w:lineRule="exact"/>
        <w:ind w:firstLine="600"/>
        <w:rPr>
          <w:b w:val="0"/>
          <w:sz w:val="24"/>
          <w:szCs w:val="24"/>
        </w:rPr>
      </w:pPr>
      <w:r>
        <w:rPr>
          <w:rFonts w:hint="eastAsia"/>
          <w:b w:val="0"/>
          <w:sz w:val="24"/>
          <w:szCs w:val="24"/>
        </w:rPr>
        <w:t xml:space="preserve">根据《安全生产法》、《安全生产培训管理办法》的有关规定及要求，为全面贯彻“安全第一、预防为主、综合治理”的方针，认真开展安全生产教育培训和安全操作技能培训，按照“统筹组织分层次、分系、大规模、大力度”安全培训的要求，采取有力措施，切实把培训工作抓出成效。是切实加强安全生产教育培训工作，为企业的安全生产工作提供有力保障特制定安全教育培训计划如下：                                                </w:t>
      </w:r>
    </w:p>
    <w:p>
      <w:pPr>
        <w:spacing w:line="340" w:lineRule="exact"/>
        <w:rPr>
          <w:b w:val="0"/>
          <w:sz w:val="24"/>
          <w:szCs w:val="24"/>
        </w:rPr>
      </w:pPr>
      <w:r>
        <w:rPr>
          <w:rFonts w:hint="eastAsia"/>
          <w:b w:val="0"/>
          <w:sz w:val="24"/>
          <w:szCs w:val="24"/>
        </w:rPr>
        <w:t>一、培训工作的指导思想</w:t>
      </w:r>
    </w:p>
    <w:p>
      <w:pPr>
        <w:spacing w:line="340" w:lineRule="exact"/>
        <w:ind w:firstLine="600"/>
        <w:rPr>
          <w:b w:val="0"/>
          <w:sz w:val="24"/>
          <w:szCs w:val="24"/>
        </w:rPr>
      </w:pPr>
      <w:r>
        <w:rPr>
          <w:rFonts w:hint="eastAsia"/>
          <w:b w:val="0"/>
          <w:sz w:val="24"/>
          <w:szCs w:val="24"/>
        </w:rPr>
        <w:t>指导思想：</w:t>
      </w:r>
    </w:p>
    <w:p>
      <w:pPr>
        <w:spacing w:line="340" w:lineRule="exact"/>
        <w:ind w:firstLine="600"/>
        <w:rPr>
          <w:b w:val="0"/>
          <w:sz w:val="24"/>
          <w:szCs w:val="24"/>
        </w:rPr>
      </w:pPr>
      <w:r>
        <w:rPr>
          <w:rFonts w:hint="eastAsia"/>
          <w:b w:val="0"/>
          <w:sz w:val="24"/>
          <w:szCs w:val="24"/>
        </w:rPr>
        <w:t>坚持“安全生产”指导原则和“安全第一、预防为主、综合治理”的方针，认真贯彻落实《安全生产法》、《安全生产培训管理办法》等法律法规和有关要求，紧紧围绕公司安全生产工作部署，明确安全生产教育培训目标，实现公司安全生产教育培训工作实现规范化、制度化、科学化管理。</w:t>
      </w:r>
    </w:p>
    <w:p>
      <w:pPr>
        <w:rPr>
          <w:b w:val="0"/>
          <w:sz w:val="24"/>
          <w:szCs w:val="24"/>
        </w:rPr>
      </w:pPr>
      <w:r>
        <w:rPr>
          <w:rFonts w:hint="eastAsia"/>
          <w:b w:val="0"/>
          <w:sz w:val="24"/>
          <w:szCs w:val="24"/>
        </w:rPr>
        <w:t>二、培训教育工作的目标</w:t>
      </w:r>
    </w:p>
    <w:p>
      <w:pPr>
        <w:ind w:firstLine="600"/>
        <w:rPr>
          <w:b w:val="0"/>
          <w:sz w:val="24"/>
          <w:szCs w:val="24"/>
        </w:rPr>
      </w:pPr>
      <w:r>
        <w:rPr>
          <w:rFonts w:hint="eastAsia"/>
          <w:b w:val="0"/>
          <w:sz w:val="24"/>
          <w:szCs w:val="24"/>
        </w:rPr>
        <w:t>通过安全生产教育培训，新进人员全面接受安全生产教育培训，使安全生产素质和管理水平明显增强，“三违”明确下降，力争生产部所有工作人员在生产中做到百分百安全。</w:t>
      </w:r>
    </w:p>
    <w:p>
      <w:pPr>
        <w:rPr>
          <w:b w:val="0"/>
          <w:sz w:val="24"/>
          <w:szCs w:val="24"/>
        </w:rPr>
      </w:pPr>
      <w:r>
        <w:rPr>
          <w:rFonts w:hint="eastAsia"/>
          <w:b w:val="0"/>
          <w:sz w:val="24"/>
          <w:szCs w:val="24"/>
        </w:rPr>
        <w:t>三、培训内容</w:t>
      </w:r>
    </w:p>
    <w:p>
      <w:pPr>
        <w:ind w:firstLine="600"/>
        <w:rPr>
          <w:b w:val="0"/>
          <w:sz w:val="24"/>
          <w:szCs w:val="24"/>
        </w:rPr>
      </w:pPr>
      <w:r>
        <w:rPr>
          <w:rFonts w:hint="eastAsia"/>
          <w:b w:val="0"/>
          <w:sz w:val="24"/>
          <w:szCs w:val="24"/>
        </w:rPr>
        <w:t>1.国家安全生产方针、政策和有关安全生产的法律、法规、规章及标准；</w:t>
      </w:r>
    </w:p>
    <w:p>
      <w:pPr>
        <w:ind w:firstLine="600"/>
        <w:rPr>
          <w:b w:val="0"/>
          <w:sz w:val="24"/>
          <w:szCs w:val="24"/>
        </w:rPr>
      </w:pPr>
      <w:r>
        <w:rPr>
          <w:rFonts w:hint="eastAsia"/>
          <w:b w:val="0"/>
          <w:sz w:val="24"/>
          <w:szCs w:val="24"/>
        </w:rPr>
        <w:t>2.安全生产管理、安全生产技术、职业卫生等知识；</w:t>
      </w:r>
    </w:p>
    <w:p>
      <w:pPr>
        <w:ind w:firstLine="600"/>
        <w:rPr>
          <w:b w:val="0"/>
          <w:sz w:val="24"/>
          <w:szCs w:val="24"/>
        </w:rPr>
      </w:pPr>
      <w:r>
        <w:rPr>
          <w:rFonts w:hint="eastAsia"/>
          <w:b w:val="0"/>
          <w:sz w:val="24"/>
          <w:szCs w:val="24"/>
        </w:rPr>
        <w:t>3.应急管理、应急预案编制以及应急处置的内容和要求；</w:t>
      </w:r>
    </w:p>
    <w:p>
      <w:pPr>
        <w:ind w:firstLine="600"/>
        <w:rPr>
          <w:b w:val="0"/>
          <w:sz w:val="24"/>
          <w:szCs w:val="24"/>
        </w:rPr>
      </w:pPr>
      <w:r>
        <w:rPr>
          <w:rFonts w:hint="eastAsia"/>
          <w:b w:val="0"/>
          <w:sz w:val="24"/>
          <w:szCs w:val="24"/>
        </w:rPr>
        <w:t>4.典型事故和应急救援案例分析</w:t>
      </w:r>
    </w:p>
    <w:p>
      <w:pPr>
        <w:ind w:firstLine="600"/>
        <w:rPr>
          <w:b w:val="0"/>
          <w:sz w:val="24"/>
          <w:szCs w:val="24"/>
        </w:rPr>
      </w:pPr>
      <w:r>
        <w:rPr>
          <w:rFonts w:hint="eastAsia"/>
          <w:b w:val="0"/>
          <w:sz w:val="24"/>
          <w:szCs w:val="24"/>
        </w:rPr>
        <w:t>5.其他需要培训的内容。</w:t>
      </w:r>
    </w:p>
    <w:p>
      <w:pPr>
        <w:rPr>
          <w:b w:val="0"/>
          <w:sz w:val="24"/>
          <w:szCs w:val="24"/>
        </w:rPr>
      </w:pPr>
      <w:r>
        <w:rPr>
          <w:rFonts w:hint="eastAsia"/>
          <w:b w:val="0"/>
          <w:sz w:val="24"/>
          <w:szCs w:val="24"/>
        </w:rPr>
        <w:t>四、培训教育工作的时间</w:t>
      </w:r>
    </w:p>
    <w:p>
      <w:pPr>
        <w:ind w:firstLine="600"/>
        <w:rPr>
          <w:b w:val="0"/>
          <w:sz w:val="24"/>
          <w:szCs w:val="24"/>
        </w:rPr>
      </w:pPr>
      <w:r>
        <w:rPr>
          <w:rFonts w:hint="eastAsia"/>
          <w:b w:val="0"/>
          <w:sz w:val="24"/>
          <w:szCs w:val="24"/>
        </w:rPr>
        <w:t>1.安全管理人员和技术人员每年不少于20学时</w:t>
      </w:r>
    </w:p>
    <w:p>
      <w:pPr>
        <w:ind w:firstLine="600"/>
        <w:rPr>
          <w:b w:val="0"/>
          <w:sz w:val="24"/>
          <w:szCs w:val="24"/>
        </w:rPr>
      </w:pPr>
      <w:r>
        <w:rPr>
          <w:rFonts w:hint="eastAsia"/>
          <w:b w:val="0"/>
          <w:sz w:val="24"/>
          <w:szCs w:val="24"/>
        </w:rPr>
        <w:t>2.其他管理和技术人员每年不少于10学时</w:t>
      </w:r>
    </w:p>
    <w:p>
      <w:pPr>
        <w:ind w:firstLine="600"/>
        <w:rPr>
          <w:b w:val="0"/>
          <w:sz w:val="24"/>
          <w:szCs w:val="24"/>
        </w:rPr>
      </w:pPr>
      <w:r>
        <w:rPr>
          <w:rFonts w:hint="eastAsia"/>
          <w:b w:val="0"/>
          <w:sz w:val="24"/>
          <w:szCs w:val="24"/>
        </w:rPr>
        <w:t>3.特殊工种每年不少于10学时</w:t>
      </w:r>
    </w:p>
    <w:p>
      <w:pPr>
        <w:ind w:firstLine="600"/>
        <w:rPr>
          <w:b w:val="0"/>
          <w:sz w:val="24"/>
          <w:szCs w:val="24"/>
        </w:rPr>
      </w:pPr>
      <w:r>
        <w:rPr>
          <w:rFonts w:hint="eastAsia"/>
          <w:b w:val="0"/>
          <w:sz w:val="24"/>
          <w:szCs w:val="24"/>
        </w:rPr>
        <w:t>4.其他职工每年不少于10学时</w:t>
      </w:r>
    </w:p>
    <w:p>
      <w:pPr>
        <w:ind w:firstLine="600"/>
        <w:rPr>
          <w:b w:val="0"/>
          <w:sz w:val="24"/>
          <w:szCs w:val="24"/>
        </w:rPr>
      </w:pPr>
      <w:r>
        <w:rPr>
          <w:rFonts w:hint="eastAsia"/>
          <w:b w:val="0"/>
          <w:sz w:val="24"/>
          <w:szCs w:val="24"/>
        </w:rPr>
        <w:t>5.待、转、换岗重新上岗前，接受一次不少于10 学时的培训</w:t>
      </w:r>
    </w:p>
    <w:p>
      <w:pPr>
        <w:ind w:firstLine="600"/>
        <w:rPr>
          <w:b w:val="0"/>
          <w:sz w:val="24"/>
          <w:szCs w:val="24"/>
        </w:rPr>
      </w:pPr>
      <w:r>
        <w:rPr>
          <w:rFonts w:hint="eastAsia"/>
          <w:b w:val="0"/>
          <w:sz w:val="24"/>
          <w:szCs w:val="24"/>
        </w:rPr>
        <w:t>6．新工人的公司、部门、班组三级培训教育时间分别不少于10学时、10学时、5学时</w:t>
      </w:r>
    </w:p>
    <w:p>
      <w:pPr>
        <w:rPr>
          <w:b w:val="0"/>
          <w:sz w:val="24"/>
          <w:szCs w:val="24"/>
        </w:rPr>
      </w:pPr>
      <w:r>
        <w:rPr>
          <w:rFonts w:hint="eastAsia"/>
          <w:b w:val="0"/>
          <w:sz w:val="24"/>
          <w:szCs w:val="24"/>
        </w:rPr>
        <w:t>五、教育和培训的形式与内容</w:t>
      </w:r>
    </w:p>
    <w:p>
      <w:pPr>
        <w:ind w:firstLine="555"/>
        <w:rPr>
          <w:b w:val="0"/>
          <w:sz w:val="24"/>
          <w:szCs w:val="24"/>
        </w:rPr>
      </w:pPr>
      <w:r>
        <w:rPr>
          <w:rFonts w:hint="eastAsia"/>
          <w:b w:val="0"/>
          <w:sz w:val="24"/>
          <w:szCs w:val="24"/>
        </w:rPr>
        <w:t>按等级、形式和工作性质分别进行，管理人员的重点是安全意识和安全管理水平，作业人员的重点是遵章守纪、自我保护和提高防范事故的能力。</w:t>
      </w:r>
    </w:p>
    <w:p>
      <w:pPr>
        <w:rPr>
          <w:b w:val="0"/>
          <w:sz w:val="24"/>
          <w:szCs w:val="24"/>
        </w:rPr>
      </w:pPr>
      <w:r>
        <w:rPr>
          <w:rFonts w:hint="eastAsia"/>
          <w:b w:val="0"/>
          <w:sz w:val="24"/>
          <w:szCs w:val="24"/>
        </w:rPr>
        <w:t xml:space="preserve">（一）新工人三级安全教育 </w:t>
      </w:r>
    </w:p>
    <w:p>
      <w:pPr>
        <w:ind w:firstLine="600"/>
        <w:rPr>
          <w:b w:val="0"/>
          <w:sz w:val="24"/>
          <w:szCs w:val="24"/>
        </w:rPr>
      </w:pPr>
      <w:r>
        <w:rPr>
          <w:rFonts w:hint="eastAsia"/>
          <w:b w:val="0"/>
          <w:sz w:val="24"/>
          <w:szCs w:val="24"/>
        </w:rPr>
        <w:t>部门对新工人和调换工种的工人必须按规定进行安全教育和技术培训，经考核合格方准上岗。</w:t>
      </w:r>
    </w:p>
    <w:p>
      <w:pPr>
        <w:rPr>
          <w:b w:val="0"/>
          <w:sz w:val="24"/>
          <w:szCs w:val="24"/>
        </w:rPr>
      </w:pPr>
      <w:r>
        <w:rPr>
          <w:rFonts w:hint="eastAsia"/>
          <w:b w:val="0"/>
          <w:sz w:val="24"/>
          <w:szCs w:val="24"/>
        </w:rPr>
        <w:tab/>
      </w:r>
      <w:r>
        <w:rPr>
          <w:rFonts w:hint="eastAsia"/>
          <w:b w:val="0"/>
          <w:sz w:val="24"/>
          <w:szCs w:val="24"/>
        </w:rPr>
        <w:t>三级安全教育是每个刚进部门的新工人必须接受的首次安全生产方面的基本教育。对新工人和调换工种的工人，必须按规定进行安全教育和技术培训，经考核合格，方准上岗。</w:t>
      </w:r>
    </w:p>
    <w:p>
      <w:pPr>
        <w:ind w:firstLine="443"/>
        <w:rPr>
          <w:b w:val="0"/>
          <w:sz w:val="24"/>
          <w:szCs w:val="24"/>
        </w:rPr>
      </w:pPr>
      <w:r>
        <w:rPr>
          <w:rFonts w:hint="eastAsia"/>
          <w:b w:val="0"/>
          <w:sz w:val="24"/>
          <w:szCs w:val="24"/>
        </w:rPr>
        <w:t>部门组织    新工人被分配到各部门前一周每天上午9:00至11:00</w:t>
      </w:r>
    </w:p>
    <w:p>
      <w:pPr>
        <w:ind w:firstLine="600"/>
        <w:rPr>
          <w:b w:val="0"/>
          <w:sz w:val="24"/>
          <w:szCs w:val="24"/>
        </w:rPr>
      </w:pPr>
      <w:r>
        <w:rPr>
          <w:rFonts w:hint="eastAsia"/>
          <w:b w:val="0"/>
          <w:sz w:val="24"/>
          <w:szCs w:val="24"/>
        </w:rPr>
        <w:t>部门级教育是新工人被分配部门以后进行的安全教育。教育内容如下：</w:t>
      </w:r>
    </w:p>
    <w:p>
      <w:pPr>
        <w:rPr>
          <w:b w:val="0"/>
          <w:sz w:val="24"/>
          <w:szCs w:val="24"/>
        </w:rPr>
      </w:pPr>
      <w:r>
        <w:rPr>
          <w:rFonts w:hint="eastAsia"/>
          <w:b w:val="0"/>
          <w:sz w:val="24"/>
          <w:szCs w:val="24"/>
        </w:rPr>
        <w:tab/>
      </w:r>
      <w:r>
        <w:rPr>
          <w:rFonts w:hint="eastAsia"/>
          <w:b w:val="0"/>
          <w:sz w:val="24"/>
          <w:szCs w:val="24"/>
        </w:rPr>
        <w:t>1.工人安全生产技术操作一般规定；</w:t>
      </w:r>
    </w:p>
    <w:p>
      <w:pPr>
        <w:rPr>
          <w:b w:val="0"/>
          <w:sz w:val="24"/>
          <w:szCs w:val="24"/>
        </w:rPr>
      </w:pPr>
      <w:r>
        <w:rPr>
          <w:rFonts w:hint="eastAsia"/>
          <w:b w:val="0"/>
          <w:sz w:val="24"/>
          <w:szCs w:val="24"/>
        </w:rPr>
        <w:tab/>
      </w:r>
      <w:r>
        <w:rPr>
          <w:rFonts w:hint="eastAsia"/>
          <w:b w:val="0"/>
          <w:sz w:val="24"/>
          <w:szCs w:val="24"/>
        </w:rPr>
        <w:t>2.部门安全管理规章制度</w:t>
      </w:r>
    </w:p>
    <w:p>
      <w:pPr>
        <w:rPr>
          <w:b w:val="0"/>
          <w:sz w:val="24"/>
          <w:szCs w:val="24"/>
        </w:rPr>
      </w:pPr>
      <w:r>
        <w:rPr>
          <w:rFonts w:hint="eastAsia"/>
          <w:b w:val="0"/>
          <w:sz w:val="24"/>
          <w:szCs w:val="24"/>
        </w:rPr>
        <w:tab/>
      </w:r>
      <w:r>
        <w:rPr>
          <w:rFonts w:hint="eastAsia"/>
          <w:b w:val="0"/>
          <w:sz w:val="24"/>
          <w:szCs w:val="24"/>
        </w:rPr>
        <w:t>3.安全生产纪律和文明生产要求</w:t>
      </w:r>
    </w:p>
    <w:p>
      <w:pPr>
        <w:ind w:firstLine="602"/>
        <w:rPr>
          <w:b w:val="0"/>
          <w:sz w:val="24"/>
          <w:szCs w:val="24"/>
        </w:rPr>
      </w:pPr>
      <w:r>
        <w:rPr>
          <w:rFonts w:hint="eastAsia"/>
          <w:b w:val="0"/>
          <w:sz w:val="24"/>
          <w:szCs w:val="24"/>
        </w:rPr>
        <w:t>班组级  分配到班组前一周每天下午14:00至16:00</w:t>
      </w:r>
    </w:p>
    <w:p>
      <w:pPr>
        <w:rPr>
          <w:b w:val="0"/>
          <w:sz w:val="24"/>
          <w:szCs w:val="24"/>
        </w:rPr>
      </w:pPr>
      <w:r>
        <w:rPr>
          <w:rFonts w:hint="eastAsia"/>
          <w:b w:val="0"/>
          <w:sz w:val="24"/>
          <w:szCs w:val="24"/>
        </w:rPr>
        <w:t xml:space="preserve"> 岗位教育实行工人被分配到班组后开始工作前的教育，教育内容如下：</w:t>
      </w:r>
    </w:p>
    <w:p>
      <w:pPr>
        <w:widowControl w:val="0"/>
        <w:numPr>
          <w:ilvl w:val="0"/>
          <w:numId w:val="1"/>
        </w:numPr>
        <w:jc w:val="both"/>
        <w:rPr>
          <w:b w:val="0"/>
          <w:sz w:val="24"/>
          <w:szCs w:val="24"/>
        </w:rPr>
      </w:pPr>
      <w:r>
        <w:rPr>
          <w:rFonts w:hint="eastAsia"/>
          <w:b w:val="0"/>
          <w:sz w:val="24"/>
          <w:szCs w:val="24"/>
        </w:rPr>
        <w:t xml:space="preserve">本人从事工作的性质，必要的安全知识，设备及安全防护设施的性能和作用                                                                                                                                                                                                                                                                                                                                                                                                                                                                                                                                                                                                                                                                                                                                                                                                                                                                                                                                                                                                                                                                                                                                                                                                                   </w:t>
      </w:r>
    </w:p>
    <w:p>
      <w:pPr>
        <w:widowControl w:val="0"/>
        <w:numPr>
          <w:ilvl w:val="0"/>
          <w:numId w:val="1"/>
        </w:numPr>
        <w:jc w:val="both"/>
        <w:rPr>
          <w:b w:val="0"/>
          <w:sz w:val="24"/>
          <w:szCs w:val="24"/>
        </w:rPr>
      </w:pPr>
      <w:r>
        <w:rPr>
          <w:rFonts w:hint="eastAsia"/>
          <w:b w:val="0"/>
          <w:sz w:val="24"/>
          <w:szCs w:val="24"/>
        </w:rPr>
        <w:t>本工种的安全操作规程</w:t>
      </w:r>
    </w:p>
    <w:p>
      <w:pPr>
        <w:rPr>
          <w:b w:val="0"/>
          <w:sz w:val="24"/>
          <w:szCs w:val="24"/>
        </w:rPr>
      </w:pPr>
      <w:r>
        <w:rPr>
          <w:rFonts w:hint="eastAsia"/>
          <w:b w:val="0"/>
          <w:sz w:val="24"/>
          <w:szCs w:val="24"/>
        </w:rPr>
        <w:tab/>
      </w:r>
      <w:r>
        <w:rPr>
          <w:rFonts w:hint="eastAsia"/>
          <w:b w:val="0"/>
          <w:sz w:val="24"/>
          <w:szCs w:val="24"/>
        </w:rPr>
        <w:t xml:space="preserve">  3.班组安全生产的要求和劳动纪律</w:t>
      </w:r>
    </w:p>
    <w:p>
      <w:pPr>
        <w:rPr>
          <w:b w:val="0"/>
          <w:sz w:val="24"/>
          <w:szCs w:val="24"/>
        </w:rPr>
      </w:pPr>
      <w:r>
        <w:rPr>
          <w:rFonts w:hint="eastAsia"/>
          <w:b w:val="0"/>
          <w:sz w:val="24"/>
          <w:szCs w:val="24"/>
        </w:rPr>
        <w:tab/>
      </w:r>
      <w:r>
        <w:rPr>
          <w:rFonts w:hint="eastAsia"/>
          <w:b w:val="0"/>
          <w:sz w:val="24"/>
          <w:szCs w:val="24"/>
        </w:rPr>
        <w:t xml:space="preserve">  4.本工种事故案例剖析，易发事故部位及劳动防护用品的使用要求 </w:t>
      </w:r>
    </w:p>
    <w:p>
      <w:pPr>
        <w:rPr>
          <w:b w:val="0"/>
          <w:sz w:val="24"/>
          <w:szCs w:val="24"/>
        </w:rPr>
      </w:pPr>
      <w:r>
        <w:rPr>
          <w:rFonts w:hint="eastAsia"/>
          <w:b w:val="0"/>
          <w:sz w:val="24"/>
          <w:szCs w:val="24"/>
        </w:rPr>
        <w:t>（二）经常性安全教育</w:t>
      </w:r>
    </w:p>
    <w:p>
      <w:pPr>
        <w:ind w:firstLine="600"/>
        <w:rPr>
          <w:b w:val="0"/>
          <w:sz w:val="24"/>
          <w:szCs w:val="24"/>
        </w:rPr>
      </w:pPr>
      <w:r>
        <w:rPr>
          <w:rFonts w:hint="eastAsia"/>
          <w:b w:val="0"/>
          <w:sz w:val="24"/>
          <w:szCs w:val="24"/>
        </w:rPr>
        <w:t>在做好上述培训和教育工作的同时还必须把经常性的安全教育贯彻于工作当中，并根据接受教育对象的不同特点，采取多层次、多渠道和多种方法进行</w:t>
      </w:r>
    </w:p>
    <w:p>
      <w:pPr>
        <w:rPr>
          <w:b w:val="0"/>
          <w:sz w:val="24"/>
          <w:szCs w:val="24"/>
        </w:rPr>
      </w:pPr>
      <w:r>
        <w:rPr>
          <w:rFonts w:hint="eastAsia"/>
          <w:b w:val="0"/>
          <w:sz w:val="24"/>
          <w:szCs w:val="24"/>
        </w:rPr>
        <w:t>六、培训评价</w:t>
      </w:r>
    </w:p>
    <w:p>
      <w:pPr>
        <w:rPr>
          <w:b w:val="0"/>
          <w:sz w:val="24"/>
          <w:szCs w:val="24"/>
        </w:rPr>
      </w:pPr>
      <w:r>
        <w:rPr>
          <w:rFonts w:hint="eastAsia"/>
          <w:b w:val="0"/>
          <w:sz w:val="24"/>
          <w:szCs w:val="24"/>
        </w:rPr>
        <w:t>1.了解熟悉公司的管理方针、目标、质量、安全和环保意识、相关法律、法规管理体系的标准、员工纪律。</w:t>
      </w:r>
    </w:p>
    <w:p>
      <w:pPr>
        <w:rPr>
          <w:b w:val="0"/>
          <w:sz w:val="24"/>
          <w:szCs w:val="24"/>
        </w:rPr>
      </w:pPr>
      <w:r>
        <w:rPr>
          <w:rFonts w:hint="eastAsia"/>
          <w:b w:val="0"/>
          <w:sz w:val="24"/>
          <w:szCs w:val="24"/>
        </w:rPr>
        <w:t>2.安全教育和培训要体现全面、全员、全过程的原则，覆盖施工现场所有人员，确保只通过安全教育的人才能上岗。</w:t>
      </w: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jc w:val="center"/>
        <w:rPr>
          <w:rFonts w:ascii="时尚中黑简体" w:hAnsi="时尚中黑简体" w:eastAsia="时尚中黑简体" w:cs="Times New Roman"/>
          <w:bCs w:val="0"/>
          <w:color w:val="000000" w:themeColor="text1"/>
          <w:sz w:val="44"/>
          <w:szCs w:val="44"/>
          <w14:textFill>
            <w14:solidFill>
              <w14:schemeClr w14:val="tx1"/>
            </w14:solidFill>
          </w14:textFill>
        </w:rPr>
      </w:pPr>
      <w:r>
        <w:rPr>
          <w:rFonts w:hint="eastAsia" w:ascii="时尚中黑简体" w:hAnsi="时尚中黑简体" w:eastAsia="时尚中黑简体" w:cs="Times New Roman"/>
          <w:bCs w:val="0"/>
          <w:color w:val="000000" w:themeColor="text1"/>
          <w:sz w:val="44"/>
          <w:szCs w:val="44"/>
          <w:lang w:eastAsia="zh-CN"/>
          <w14:textFill>
            <w14:solidFill>
              <w14:schemeClr w14:val="tx1"/>
            </w14:solidFill>
          </w14:textFill>
        </w:rPr>
        <w:t>西安牧源</w:t>
      </w:r>
      <w:r>
        <w:rPr>
          <w:rFonts w:hint="eastAsia" w:ascii="时尚中黑简体" w:hAnsi="时尚中黑简体" w:eastAsia="时尚中黑简体" w:cs="Times New Roman"/>
          <w:bCs w:val="0"/>
          <w:color w:val="000000" w:themeColor="text1"/>
          <w:sz w:val="44"/>
          <w:szCs w:val="44"/>
          <w14:textFill>
            <w14:solidFill>
              <w14:schemeClr w14:val="tx1"/>
            </w14:solidFill>
          </w14:textFill>
        </w:rPr>
        <w:t>饲料有限公司</w:t>
      </w:r>
    </w:p>
    <w:p>
      <w:pPr>
        <w:jc w:val="center"/>
        <w:rPr>
          <w:rFonts w:cs="Arial"/>
          <w:color w:val="000000"/>
          <w:sz w:val="32"/>
          <w:szCs w:val="32"/>
        </w:rPr>
      </w:pPr>
      <w:r>
        <w:rPr>
          <w:rFonts w:hint="eastAsia" w:cs="Arial"/>
          <w:bCs w:val="0"/>
          <w:color w:val="000000"/>
          <w:sz w:val="32"/>
          <w:szCs w:val="32"/>
        </w:rPr>
        <w:t>安全生产教育培训制度</w:t>
      </w:r>
    </w:p>
    <w:p>
      <w:pPr>
        <w:rPr>
          <w:rFonts w:cs="Arial"/>
          <w:b w:val="0"/>
          <w:color w:val="000000"/>
          <w:sz w:val="28"/>
          <w:szCs w:val="28"/>
        </w:rPr>
      </w:pPr>
      <w:r>
        <w:rPr>
          <w:rFonts w:hint="eastAsia" w:cs="Arial"/>
          <w:color w:val="000000"/>
          <w:sz w:val="28"/>
          <w:szCs w:val="28"/>
        </w:rPr>
        <w:t xml:space="preserve">   </w:t>
      </w:r>
      <w:r>
        <w:rPr>
          <w:rFonts w:hint="eastAsia" w:cs="Arial"/>
          <w:b w:val="0"/>
          <w:color w:val="000000"/>
          <w:sz w:val="28"/>
          <w:szCs w:val="28"/>
        </w:rPr>
        <w:t xml:space="preserve"> 建立安全教育培训管理机构，明确专人负责。</w:t>
      </w:r>
    </w:p>
    <w:p>
      <w:pPr>
        <w:widowControl w:val="0"/>
        <w:numPr>
          <w:ilvl w:val="0"/>
          <w:numId w:val="2"/>
        </w:numPr>
        <w:jc w:val="both"/>
        <w:rPr>
          <w:rFonts w:cs="Arial"/>
          <w:b w:val="0"/>
          <w:color w:val="000000"/>
          <w:sz w:val="28"/>
          <w:szCs w:val="28"/>
        </w:rPr>
      </w:pPr>
      <w:r>
        <w:rPr>
          <w:rFonts w:hint="eastAsia" w:cs="Arial"/>
          <w:b w:val="0"/>
          <w:color w:val="000000"/>
          <w:sz w:val="28"/>
          <w:szCs w:val="28"/>
        </w:rPr>
        <w:t>制定年度教育培训计划，健全资料档案。</w:t>
      </w:r>
    </w:p>
    <w:p>
      <w:pPr>
        <w:widowControl w:val="0"/>
        <w:numPr>
          <w:ilvl w:val="0"/>
          <w:numId w:val="2"/>
        </w:numPr>
        <w:jc w:val="both"/>
        <w:rPr>
          <w:rFonts w:cs="Arial"/>
          <w:b w:val="0"/>
          <w:color w:val="000000"/>
          <w:sz w:val="28"/>
          <w:szCs w:val="28"/>
        </w:rPr>
      </w:pPr>
      <w:r>
        <w:rPr>
          <w:rFonts w:hint="eastAsia" w:cs="Arial"/>
          <w:b w:val="0"/>
          <w:color w:val="000000"/>
          <w:sz w:val="28"/>
          <w:szCs w:val="28"/>
        </w:rPr>
        <w:t>落实新（转岗）员工的三级教育，完成基础知识、安全纪律和操作规程的培训考核，三级教育培训率达到100%</w:t>
      </w:r>
    </w:p>
    <w:p>
      <w:pPr>
        <w:widowControl w:val="0"/>
        <w:numPr>
          <w:ilvl w:val="0"/>
          <w:numId w:val="2"/>
        </w:numPr>
        <w:jc w:val="both"/>
        <w:rPr>
          <w:rFonts w:cs="Arial"/>
          <w:b w:val="0"/>
          <w:color w:val="000000"/>
          <w:sz w:val="28"/>
          <w:szCs w:val="28"/>
        </w:rPr>
      </w:pPr>
      <w:r>
        <w:rPr>
          <w:rFonts w:hint="eastAsia" w:cs="Arial"/>
          <w:b w:val="0"/>
          <w:color w:val="000000"/>
          <w:sz w:val="28"/>
          <w:szCs w:val="28"/>
        </w:rPr>
        <w:t>每年至少组织一次企业全体员工安全生产教育培训、考试，各部门、各层面适时开展安全教育培训。</w:t>
      </w:r>
    </w:p>
    <w:p>
      <w:pPr>
        <w:widowControl w:val="0"/>
        <w:numPr>
          <w:ilvl w:val="0"/>
          <w:numId w:val="2"/>
        </w:numPr>
        <w:jc w:val="both"/>
        <w:rPr>
          <w:rFonts w:cs="Arial"/>
          <w:b w:val="0"/>
          <w:color w:val="000000"/>
          <w:sz w:val="28"/>
          <w:szCs w:val="28"/>
        </w:rPr>
      </w:pPr>
      <w:r>
        <w:rPr>
          <w:rFonts w:hint="eastAsia" w:cs="Arial"/>
          <w:b w:val="0"/>
          <w:color w:val="000000"/>
          <w:sz w:val="28"/>
          <w:szCs w:val="28"/>
        </w:rPr>
        <w:t>特种作业人员必须参加专业技术培训，持证上岗率达到100%</w:t>
      </w:r>
    </w:p>
    <w:p>
      <w:pPr>
        <w:widowControl w:val="0"/>
        <w:numPr>
          <w:ilvl w:val="0"/>
          <w:numId w:val="2"/>
        </w:numPr>
        <w:jc w:val="both"/>
        <w:rPr>
          <w:rFonts w:cs="Times New Roman"/>
          <w:b w:val="0"/>
          <w:sz w:val="28"/>
          <w:szCs w:val="28"/>
        </w:rPr>
      </w:pPr>
      <w:r>
        <w:rPr>
          <w:rFonts w:hint="eastAsia" w:cs="Arial"/>
          <w:b w:val="0"/>
          <w:color w:val="000000"/>
          <w:sz w:val="28"/>
          <w:szCs w:val="28"/>
        </w:rPr>
        <w:t>单位主要负责人、安全管理人员每年参加安全生产相关业务培训，并取得资格证书。</w:t>
      </w:r>
    </w:p>
    <w:p>
      <w:pPr>
        <w:rPr>
          <w:rFonts w:cs="Arial"/>
          <w:b w:val="0"/>
          <w:color w:val="000000"/>
          <w:sz w:val="28"/>
          <w:szCs w:val="28"/>
        </w:rPr>
      </w:pPr>
      <w:r>
        <w:rPr>
          <w:rFonts w:hint="eastAsia" w:cs="Arial"/>
          <w:b w:val="0"/>
          <w:color w:val="000000"/>
          <w:sz w:val="28"/>
          <w:szCs w:val="28"/>
        </w:rPr>
        <w:t xml:space="preserve"> </w:t>
      </w:r>
    </w:p>
    <w:p>
      <w:pPr>
        <w:rPr>
          <w:rFonts w:cs="Arial"/>
          <w:b w:val="0"/>
          <w:color w:val="000000"/>
          <w:sz w:val="28"/>
          <w:szCs w:val="28"/>
        </w:rPr>
      </w:pPr>
      <w:r>
        <w:rPr>
          <w:rFonts w:hint="eastAsia" w:cs="Arial"/>
          <w:b w:val="0"/>
          <w:color w:val="000000"/>
          <w:sz w:val="28"/>
          <w:szCs w:val="28"/>
        </w:rPr>
        <w:t xml:space="preserve"> </w:t>
      </w:r>
    </w:p>
    <w:p>
      <w:pPr>
        <w:rPr>
          <w:rFonts w:cs="Arial"/>
          <w:color w:val="000000"/>
          <w:sz w:val="28"/>
          <w:szCs w:val="28"/>
        </w:rPr>
      </w:pPr>
      <w:r>
        <w:rPr>
          <w:rFonts w:hint="eastAsia" w:cs="Arial"/>
          <w:color w:val="000000"/>
          <w:sz w:val="28"/>
          <w:szCs w:val="28"/>
        </w:rPr>
        <w:t xml:space="preserve"> </w:t>
      </w:r>
    </w:p>
    <w:p>
      <w:pPr>
        <w:rPr>
          <w:rFonts w:cs="Arial"/>
          <w:color w:val="000000"/>
          <w:sz w:val="28"/>
          <w:szCs w:val="28"/>
        </w:rPr>
      </w:pPr>
      <w:r>
        <w:rPr>
          <w:rFonts w:hint="eastAsia" w:cs="Arial"/>
          <w:color w:val="000000"/>
          <w:sz w:val="28"/>
          <w:szCs w:val="28"/>
        </w:rPr>
        <w:t xml:space="preserve"> </w:t>
      </w:r>
    </w:p>
    <w:p>
      <w:pPr>
        <w:rPr>
          <w:rFonts w:cs="Arial"/>
          <w:color w:val="000000"/>
          <w:sz w:val="28"/>
          <w:szCs w:val="28"/>
        </w:rPr>
      </w:pPr>
      <w:r>
        <w:rPr>
          <w:rFonts w:hint="eastAsia" w:cs="Arial"/>
          <w:color w:val="000000"/>
          <w:sz w:val="28"/>
          <w:szCs w:val="28"/>
        </w:rPr>
        <w:t xml:space="preserve"> </w:t>
      </w:r>
    </w:p>
    <w:p>
      <w:pPr>
        <w:rPr>
          <w:rFonts w:cs="Arial"/>
          <w:color w:val="000000"/>
          <w:sz w:val="28"/>
          <w:szCs w:val="28"/>
        </w:rPr>
      </w:pPr>
      <w:r>
        <w:rPr>
          <w:rFonts w:hint="eastAsia" w:cs="Arial"/>
          <w:color w:val="000000"/>
          <w:sz w:val="28"/>
          <w:szCs w:val="28"/>
        </w:rPr>
        <w:t xml:space="preserve"> </w:t>
      </w:r>
    </w:p>
    <w:p>
      <w:pPr>
        <w:rPr>
          <w:rFonts w:cs="Arial"/>
          <w:color w:val="000000"/>
          <w:sz w:val="28"/>
          <w:szCs w:val="28"/>
        </w:rPr>
      </w:pPr>
      <w:r>
        <w:rPr>
          <w:rFonts w:hint="eastAsia" w:cs="Arial"/>
          <w:color w:val="000000"/>
          <w:sz w:val="28"/>
          <w:szCs w:val="28"/>
        </w:rPr>
        <w:t xml:space="preserve"> </w:t>
      </w:r>
    </w:p>
    <w:p>
      <w:pPr>
        <w:rPr>
          <w:rFonts w:cs="Arial"/>
          <w:color w:val="000000"/>
          <w:sz w:val="28"/>
          <w:szCs w:val="28"/>
        </w:rPr>
      </w:pPr>
      <w:r>
        <w:rPr>
          <w:rFonts w:hint="eastAsia" w:cs="Arial"/>
          <w:color w:val="000000"/>
          <w:sz w:val="28"/>
          <w:szCs w:val="28"/>
        </w:rPr>
        <w:t xml:space="preserve"> </w:t>
      </w:r>
    </w:p>
    <w:p>
      <w:pPr>
        <w:rPr>
          <w:rFonts w:cs="Arial"/>
          <w:color w:val="000000"/>
          <w:sz w:val="28"/>
          <w:szCs w:val="28"/>
        </w:rPr>
      </w:pPr>
      <w:r>
        <w:rPr>
          <w:rFonts w:hint="eastAsia" w:cs="Arial"/>
          <w:color w:val="000000"/>
          <w:sz w:val="28"/>
          <w:szCs w:val="28"/>
        </w:rPr>
        <w:t xml:space="preserve"> </w:t>
      </w:r>
    </w:p>
    <w:p>
      <w:pPr>
        <w:rPr>
          <w:rFonts w:cs="Arial"/>
          <w:color w:val="000000"/>
          <w:sz w:val="28"/>
          <w:szCs w:val="28"/>
        </w:rPr>
      </w:pPr>
      <w:r>
        <w:rPr>
          <w:rFonts w:hint="eastAsia" w:cs="Arial"/>
          <w:color w:val="000000"/>
          <w:sz w:val="28"/>
          <w:szCs w:val="28"/>
        </w:rPr>
        <w:t xml:space="preserve"> </w:t>
      </w:r>
    </w:p>
    <w:p>
      <w:pPr>
        <w:jc w:val="center"/>
        <w:rPr>
          <w:b w:val="0"/>
          <w:sz w:val="24"/>
          <w:szCs w:val="24"/>
        </w:rPr>
      </w:pPr>
      <w:r>
        <w:rPr>
          <w:rFonts w:hint="eastAsia" w:cs="Arial"/>
          <w:color w:val="000000"/>
          <w:sz w:val="28"/>
          <w:szCs w:val="28"/>
        </w:rPr>
        <w:t xml:space="preserve"> </w:t>
      </w: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altName w:val="Arial Unicode MS"/>
    <w:panose1 w:val="00000000000000000000"/>
    <w:charset w:val="00"/>
    <w:family w:val="auto"/>
    <w:pitch w:val="default"/>
    <w:sig w:usb0="00000000" w:usb1="00000000" w:usb2="00000000" w:usb3="00000000" w:csb0="00000000" w:csb1="00000000"/>
  </w:font>
  <w:font w:name="等线">
    <w:altName w:val="Times New Roman"/>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ingLiU">
    <w:panose1 w:val="02020509000000000000"/>
    <w:charset w:val="88"/>
    <w:family w:val="modern"/>
    <w:pitch w:val="default"/>
    <w:sig w:usb0="A00002FF" w:usb1="28CFFCFA" w:usb2="00000016" w:usb3="00000000" w:csb0="00100001" w:csb1="00000000"/>
  </w:font>
  <w:font w:name="PMingLiU">
    <w:panose1 w:val="02020500000000000000"/>
    <w:charset w:val="88"/>
    <w:family w:val="roman"/>
    <w:pitch w:val="default"/>
    <w:sig w:usb0="A00002FF" w:usb1="28CFFCFA" w:usb2="00000016" w:usb3="00000000" w:csb0="00100001" w:csb1="00000000"/>
  </w:font>
  <w:font w:name="仿宋">
    <w:altName w:val="MS Gothic"/>
    <w:panose1 w:val="02010609060101010101"/>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E722A"/>
    <w:multiLevelType w:val="multilevel"/>
    <w:tmpl w:val="1A3E722A"/>
    <w:lvl w:ilvl="0" w:tentative="0">
      <w:start w:val="1"/>
      <w:numFmt w:val="decimal"/>
      <w:lvlText w:val="%1."/>
      <w:lvlJc w:val="left"/>
      <w:pPr>
        <w:tabs>
          <w:tab w:val="left" w:pos="1050"/>
        </w:tabs>
        <w:ind w:left="1050" w:hanging="360"/>
      </w:pPr>
      <w:rPr>
        <w:rFonts w:hint="default" w:ascii="Times New Roman" w:hAnsi="Times New Roman" w:cs="Times New Roman"/>
      </w:rPr>
    </w:lvl>
    <w:lvl w:ilvl="1" w:tentative="0">
      <w:start w:val="1"/>
      <w:numFmt w:val="lowerLetter"/>
      <w:lvlText w:val="%2)"/>
      <w:lvlJc w:val="left"/>
      <w:pPr>
        <w:tabs>
          <w:tab w:val="left" w:pos="1530"/>
        </w:tabs>
        <w:ind w:left="1530" w:hanging="420"/>
      </w:pPr>
      <w:rPr>
        <w:rFonts w:hint="default" w:ascii="Times New Roman" w:hAnsi="Times New Roman" w:cs="Times New Roman"/>
      </w:rPr>
    </w:lvl>
    <w:lvl w:ilvl="2" w:tentative="0">
      <w:start w:val="1"/>
      <w:numFmt w:val="lowerRoman"/>
      <w:lvlText w:val="%3."/>
      <w:lvlJc w:val="right"/>
      <w:pPr>
        <w:tabs>
          <w:tab w:val="left" w:pos="1950"/>
        </w:tabs>
        <w:ind w:left="1950" w:hanging="420"/>
      </w:pPr>
      <w:rPr>
        <w:rFonts w:hint="default" w:ascii="Times New Roman" w:hAnsi="Times New Roman" w:cs="Times New Roman"/>
      </w:rPr>
    </w:lvl>
    <w:lvl w:ilvl="3" w:tentative="0">
      <w:start w:val="1"/>
      <w:numFmt w:val="decimal"/>
      <w:lvlText w:val="%4."/>
      <w:lvlJc w:val="left"/>
      <w:pPr>
        <w:tabs>
          <w:tab w:val="left" w:pos="2370"/>
        </w:tabs>
        <w:ind w:left="2370" w:hanging="420"/>
      </w:pPr>
      <w:rPr>
        <w:rFonts w:hint="default" w:ascii="Times New Roman" w:hAnsi="Times New Roman" w:cs="Times New Roman"/>
      </w:rPr>
    </w:lvl>
    <w:lvl w:ilvl="4" w:tentative="0">
      <w:start w:val="1"/>
      <w:numFmt w:val="lowerLetter"/>
      <w:lvlText w:val="%5)"/>
      <w:lvlJc w:val="left"/>
      <w:pPr>
        <w:tabs>
          <w:tab w:val="left" w:pos="2790"/>
        </w:tabs>
        <w:ind w:left="2790" w:hanging="420"/>
      </w:pPr>
      <w:rPr>
        <w:rFonts w:hint="default" w:ascii="Times New Roman" w:hAnsi="Times New Roman" w:cs="Times New Roman"/>
      </w:rPr>
    </w:lvl>
    <w:lvl w:ilvl="5" w:tentative="0">
      <w:start w:val="1"/>
      <w:numFmt w:val="lowerRoman"/>
      <w:lvlText w:val="%6."/>
      <w:lvlJc w:val="right"/>
      <w:pPr>
        <w:tabs>
          <w:tab w:val="left" w:pos="3210"/>
        </w:tabs>
        <w:ind w:left="3210" w:hanging="420"/>
      </w:pPr>
      <w:rPr>
        <w:rFonts w:hint="default" w:ascii="Times New Roman" w:hAnsi="Times New Roman" w:cs="Times New Roman"/>
      </w:rPr>
    </w:lvl>
    <w:lvl w:ilvl="6" w:tentative="0">
      <w:start w:val="1"/>
      <w:numFmt w:val="decimal"/>
      <w:lvlText w:val="%7."/>
      <w:lvlJc w:val="left"/>
      <w:pPr>
        <w:tabs>
          <w:tab w:val="left" w:pos="3630"/>
        </w:tabs>
        <w:ind w:left="3630" w:hanging="420"/>
      </w:pPr>
      <w:rPr>
        <w:rFonts w:hint="default" w:ascii="Times New Roman" w:hAnsi="Times New Roman" w:cs="Times New Roman"/>
      </w:rPr>
    </w:lvl>
    <w:lvl w:ilvl="7" w:tentative="0">
      <w:start w:val="1"/>
      <w:numFmt w:val="lowerLetter"/>
      <w:lvlText w:val="%8)"/>
      <w:lvlJc w:val="left"/>
      <w:pPr>
        <w:tabs>
          <w:tab w:val="left" w:pos="4050"/>
        </w:tabs>
        <w:ind w:left="4050" w:hanging="420"/>
      </w:pPr>
      <w:rPr>
        <w:rFonts w:hint="default" w:ascii="Times New Roman" w:hAnsi="Times New Roman" w:cs="Times New Roman"/>
      </w:rPr>
    </w:lvl>
    <w:lvl w:ilvl="8" w:tentative="0">
      <w:start w:val="1"/>
      <w:numFmt w:val="lowerRoman"/>
      <w:lvlText w:val="%9."/>
      <w:lvlJc w:val="right"/>
      <w:pPr>
        <w:tabs>
          <w:tab w:val="left" w:pos="4470"/>
        </w:tabs>
        <w:ind w:left="4470" w:hanging="420"/>
      </w:pPr>
      <w:rPr>
        <w:rFonts w:hint="default" w:ascii="Times New Roman" w:hAnsi="Times New Roman" w:cs="Times New Roman"/>
      </w:rPr>
    </w:lvl>
  </w:abstractNum>
  <w:abstractNum w:abstractNumId="1">
    <w:nsid w:val="46C8211D"/>
    <w:multiLevelType w:val="multilevel"/>
    <w:tmpl w:val="46C8211D"/>
    <w:lvl w:ilvl="0" w:tentative="0">
      <w:start w:val="1"/>
      <w:numFmt w:val="chineseCountingThousand"/>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E194079"/>
    <w:rsid w:val="41C35A37"/>
    <w:rsid w:val="47E108D0"/>
    <w:rsid w:val="63B66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0"/>
    <w:unhideWhenUsed/>
    <w:qFormat/>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qFormat/>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qFormat/>
    <w:uiPriority w:val="99"/>
    <w:rPr>
      <w:rFonts w:ascii="Arial" w:hAnsi="Arial" w:eastAsia="宋体" w:cs="宋体"/>
      <w:b/>
      <w:bCs/>
      <w:kern w:val="2"/>
      <w:sz w:val="28"/>
      <w:szCs w:val="28"/>
    </w:rPr>
  </w:style>
  <w:style w:type="character" w:customStyle="1" w:styleId="24">
    <w:name w:val="标题 3 Char"/>
    <w:basedOn w:val="19"/>
    <w:link w:val="4"/>
    <w:qFormat/>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qFormat/>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qFormat/>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qFormat/>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qFormat/>
    <w:uiPriority w:val="99"/>
    <w:rPr>
      <w:rFonts w:ascii="Tahoma" w:hAnsi="Tahoma" w:eastAsia="微软雅黑" w:cs="Times New Roman"/>
      <w:sz w:val="18"/>
      <w:szCs w:val="18"/>
    </w:rPr>
  </w:style>
  <w:style w:type="character" w:customStyle="1" w:styleId="35">
    <w:name w:val="页眉 Char"/>
    <w:basedOn w:val="19"/>
    <w:link w:val="13"/>
    <w:qFormat/>
    <w:uiPriority w:val="99"/>
    <w:rPr>
      <w:rFonts w:ascii="Tahoma" w:hAnsi="Tahoma" w:eastAsia="微软雅黑" w:cs="Times New Roman"/>
      <w:sz w:val="18"/>
      <w:szCs w:val="18"/>
    </w:rPr>
  </w:style>
  <w:style w:type="character" w:customStyle="1" w:styleId="36">
    <w:name w:val="10"/>
    <w:basedOn w:val="19"/>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38</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2020-05-30T02:30:18Z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