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ascii="时尚中黑简体" w:hAnsi="时尚中黑简体" w:eastAsia="时尚中黑简体"/>
          <w:bCs/>
          <w:color w:val="000000" w:themeColor="text1"/>
          <w14:textFill>
            <w14:solidFill>
              <w14:schemeClr w14:val="tx1"/>
            </w14:solidFill>
          </w14:textFill>
        </w:rPr>
      </w:pPr>
      <w:r>
        <w:rPr>
          <w:rFonts w:hint="eastAsia" w:ascii="时尚中黑简体" w:hAnsi="时尚中黑简体" w:eastAsia="时尚中黑简体"/>
          <w:bCs/>
          <w:color w:val="000000" w:themeColor="text1"/>
          <w:lang w:eastAsia="zh-CN"/>
          <w14:textFill>
            <w14:solidFill>
              <w14:schemeClr w14:val="tx1"/>
            </w14:solidFill>
          </w14:textFill>
        </w:rPr>
        <w:t>西安牧源</w:t>
      </w:r>
      <w:r>
        <w:rPr>
          <w:rFonts w:hint="eastAsia" w:ascii="时尚中黑简体" w:hAnsi="时尚中黑简体" w:eastAsia="时尚中黑简体"/>
          <w:bCs/>
          <w:color w:val="000000" w:themeColor="text1"/>
          <w14:textFill>
            <w14:solidFill>
              <w14:schemeClr w14:val="tx1"/>
            </w14:solidFill>
          </w14:textFill>
        </w:rPr>
        <w:t>饲料有限公司</w:t>
      </w:r>
    </w:p>
    <w:p>
      <w:pPr>
        <w:jc w:val="center"/>
        <w:rPr>
          <w:sz w:val="32"/>
          <w:szCs w:val="32"/>
        </w:rPr>
      </w:pPr>
      <w:r>
        <w:rPr>
          <w:rFonts w:hint="eastAsia"/>
          <w:sz w:val="32"/>
          <w:szCs w:val="32"/>
        </w:rPr>
        <w:t>劳动防护用品配发标准</w:t>
      </w:r>
    </w:p>
    <w:p>
      <w:pPr>
        <w:spacing w:line="360" w:lineRule="auto"/>
        <w:ind w:firstLine="480" w:firstLineChars="200"/>
        <w:rPr>
          <w:b w:val="0"/>
          <w:bCs w:val="0"/>
          <w:sz w:val="24"/>
          <w:szCs w:val="24"/>
        </w:rPr>
      </w:pPr>
      <w:r>
        <w:rPr>
          <w:rFonts w:hint="eastAsia"/>
          <w:b w:val="0"/>
          <w:sz w:val="24"/>
          <w:szCs w:val="24"/>
        </w:rPr>
        <w:t>为了使各单位、项目部合理配备、正确使用劳动防护用品，保护劳动者在生产中的安全和健康，确保安全施工生产，根据国家经贸委制定的《劳动防护用品配备标准（试行）》，制定本公司《劳动防护用品配备标准及规定》，参照所在地省的具体标准，结合实际，适当调整发放标准，由总经办组织实施。</w:t>
      </w:r>
    </w:p>
    <w:p>
      <w:pPr>
        <w:spacing w:line="360" w:lineRule="auto"/>
        <w:ind w:firstLine="480" w:firstLineChars="200"/>
        <w:rPr>
          <w:b w:val="0"/>
          <w:sz w:val="24"/>
          <w:szCs w:val="24"/>
        </w:rPr>
      </w:pPr>
      <w:r>
        <w:rPr>
          <w:rFonts w:hint="eastAsia"/>
          <w:b w:val="0"/>
          <w:sz w:val="24"/>
          <w:szCs w:val="24"/>
        </w:rPr>
        <w:t>第一条  本标准是根据《中华人民共和国劳动法》等有关法律法规，为进一步加强劳动防护用品的管理，保障劳动过程中的安全和健康而制订的。</w:t>
      </w:r>
    </w:p>
    <w:p>
      <w:pPr>
        <w:spacing w:line="360" w:lineRule="auto"/>
        <w:ind w:firstLine="480" w:firstLineChars="200"/>
        <w:rPr>
          <w:b w:val="0"/>
          <w:sz w:val="24"/>
          <w:szCs w:val="24"/>
        </w:rPr>
      </w:pPr>
      <w:r>
        <w:rPr>
          <w:rFonts w:hint="eastAsia"/>
          <w:b w:val="0"/>
          <w:sz w:val="24"/>
          <w:szCs w:val="24"/>
        </w:rPr>
        <w:t>第二条  本标准适应于公司所属各单位。</w:t>
      </w:r>
    </w:p>
    <w:p>
      <w:pPr>
        <w:spacing w:line="360" w:lineRule="auto"/>
        <w:ind w:firstLine="480" w:firstLineChars="200"/>
        <w:rPr>
          <w:b w:val="0"/>
          <w:sz w:val="24"/>
          <w:szCs w:val="24"/>
        </w:rPr>
      </w:pPr>
      <w:r>
        <w:rPr>
          <w:rFonts w:hint="eastAsia"/>
          <w:b w:val="0"/>
          <w:sz w:val="24"/>
          <w:szCs w:val="24"/>
        </w:rPr>
        <w:t>第三条  本标准规定的劳动防护用品，是指在劳动过程中为保护劳动者的安全和健康，由公司提供的必需物品。应指导、督促劳动者在作业时正确使用。</w:t>
      </w:r>
    </w:p>
    <w:p>
      <w:pPr>
        <w:spacing w:line="360" w:lineRule="auto"/>
        <w:ind w:firstLine="480" w:firstLineChars="200"/>
        <w:rPr>
          <w:b w:val="0"/>
          <w:sz w:val="24"/>
          <w:szCs w:val="24"/>
        </w:rPr>
      </w:pPr>
      <w:r>
        <w:rPr>
          <w:rFonts w:hint="eastAsia"/>
          <w:b w:val="0"/>
          <w:sz w:val="24"/>
          <w:szCs w:val="24"/>
        </w:rPr>
        <w:t>第四条  国家对特种劳动防护用品实施安全生产许可证制度。公司采购、发放和使用的特种劳动防护用品必须具有安全生产许可证、产品合格证和安全鉴定证。</w:t>
      </w:r>
    </w:p>
    <w:p>
      <w:pPr>
        <w:spacing w:line="360" w:lineRule="auto"/>
        <w:ind w:firstLine="480" w:firstLineChars="200"/>
        <w:rPr>
          <w:b w:val="0"/>
          <w:sz w:val="24"/>
          <w:szCs w:val="24"/>
        </w:rPr>
      </w:pPr>
      <w:r>
        <w:rPr>
          <w:rFonts w:hint="eastAsia"/>
          <w:b w:val="0"/>
          <w:sz w:val="24"/>
          <w:szCs w:val="24"/>
        </w:rPr>
        <w:t>第五条  公司应建立和健全劳动防护用品的采购、验收、保管、发放、使用、更新、报废等管理制度。安检部门应对购进的劳动防护用品进行验收。</w:t>
      </w:r>
    </w:p>
    <w:p>
      <w:pPr>
        <w:spacing w:line="360" w:lineRule="auto"/>
        <w:ind w:firstLine="480" w:firstLineChars="200"/>
        <w:rPr>
          <w:b w:val="0"/>
          <w:sz w:val="24"/>
          <w:szCs w:val="24"/>
        </w:rPr>
      </w:pPr>
      <w:r>
        <w:rPr>
          <w:rFonts w:hint="eastAsia"/>
          <w:b w:val="0"/>
          <w:sz w:val="24"/>
          <w:szCs w:val="24"/>
        </w:rPr>
        <w:t>第六条  本标准参照《中华人民共和国工种分类目录》，选择了53个工种为典型工种，其他工种的劳动防护用品的配备，可参照附录B《相近工种对照表》确定。</w:t>
      </w:r>
    </w:p>
    <w:p>
      <w:pPr>
        <w:spacing w:line="360" w:lineRule="auto"/>
        <w:ind w:firstLine="480" w:firstLineChars="200"/>
        <w:rPr>
          <w:b w:val="0"/>
          <w:sz w:val="24"/>
          <w:szCs w:val="24"/>
        </w:rPr>
      </w:pPr>
      <w:r>
        <w:rPr>
          <w:rFonts w:hint="eastAsia"/>
          <w:b w:val="0"/>
          <w:sz w:val="24"/>
          <w:szCs w:val="24"/>
        </w:rPr>
        <w:t>第七条  本标准参照国家标准CB11651—89《劳动防护用品选用规则》，根据各工种的劳动环境和劳动条件，配备具有相应安全、卫生性能的劳动防护用品，用标有代表各种防护性能的字母表示（cc，fg，hw等，详见附录A《防护性能字母对照表》）。标准中工作服的材质、式样和颜色必须符合有关工种操作安全的要求。</w:t>
      </w:r>
    </w:p>
    <w:p>
      <w:pPr>
        <w:spacing w:line="360" w:lineRule="auto"/>
        <w:ind w:firstLine="480" w:firstLineChars="200"/>
        <w:rPr>
          <w:b w:val="0"/>
          <w:sz w:val="24"/>
          <w:szCs w:val="24"/>
        </w:rPr>
      </w:pPr>
      <w:r>
        <w:rPr>
          <w:rFonts w:hint="eastAsia"/>
          <w:b w:val="0"/>
          <w:sz w:val="24"/>
          <w:szCs w:val="24"/>
        </w:rPr>
        <w:t>第八条  凡是从事多种作业或在多种劳动环境中作业的人员，应按其主要作业的工种和劳动环境配备劳动防护用品。如配备和劳动防护用品在从事其他工种作业时或在其他劳动环境中确实不能适用的，应另配或借用所需的其他劳动防护用品。</w:t>
      </w:r>
    </w:p>
    <w:p>
      <w:pPr>
        <w:spacing w:line="360" w:lineRule="auto"/>
        <w:ind w:firstLine="480" w:firstLineChars="200"/>
        <w:rPr>
          <w:b w:val="0"/>
          <w:sz w:val="24"/>
          <w:szCs w:val="24"/>
        </w:rPr>
      </w:pPr>
      <w:r>
        <w:rPr>
          <w:rFonts w:hint="eastAsia"/>
          <w:b w:val="0"/>
          <w:sz w:val="24"/>
          <w:szCs w:val="24"/>
        </w:rPr>
        <w:t>第九条  本标准要求为一般工种的作业人员配备防尘口罩，纱布口罩不得作防尘口罩使用。</w:t>
      </w:r>
    </w:p>
    <w:p>
      <w:pPr>
        <w:spacing w:line="360" w:lineRule="auto"/>
        <w:ind w:firstLine="480" w:firstLineChars="200"/>
        <w:rPr>
          <w:b w:val="0"/>
          <w:sz w:val="24"/>
          <w:szCs w:val="24"/>
        </w:rPr>
      </w:pPr>
      <w:r>
        <w:rPr>
          <w:rFonts w:hint="eastAsia"/>
          <w:b w:val="0"/>
          <w:sz w:val="24"/>
          <w:szCs w:val="24"/>
        </w:rPr>
        <w:t>第十条  防毒护具的发放应根据作业人员可能接触毒物的种类，准确地选择相应的滤毒罐（盒），每次使用前应仔细检查是否不效，并按国家标准规定，定时更换滤毒罐（盒）。</w:t>
      </w:r>
    </w:p>
    <w:p>
      <w:pPr>
        <w:spacing w:line="360" w:lineRule="auto"/>
        <w:ind w:firstLine="480" w:firstLineChars="200"/>
        <w:rPr>
          <w:b w:val="0"/>
          <w:sz w:val="24"/>
          <w:szCs w:val="24"/>
        </w:rPr>
      </w:pPr>
      <w:r>
        <w:rPr>
          <w:rFonts w:hint="eastAsia"/>
          <w:b w:val="0"/>
          <w:sz w:val="24"/>
          <w:szCs w:val="24"/>
        </w:rPr>
        <w:t>第十一条  本标准中将帆布、纱、橡胶、塑料、乳胶等材质制成的手套统称为“劳动手套”，公司应根据劳动者在作业中防割、磨、烧、冻、电击、静电、腐蚀、浸水等伤害的实际需要，配备不同防护性能和材质的手套。</w:t>
      </w:r>
    </w:p>
    <w:p>
      <w:pPr>
        <w:spacing w:line="360" w:lineRule="auto"/>
        <w:ind w:firstLine="480" w:firstLineChars="200"/>
        <w:rPr>
          <w:b w:val="0"/>
          <w:sz w:val="24"/>
          <w:szCs w:val="24"/>
        </w:rPr>
      </w:pPr>
      <w:r>
        <w:rPr>
          <w:rFonts w:hint="eastAsia"/>
          <w:b w:val="0"/>
          <w:sz w:val="24"/>
          <w:szCs w:val="24"/>
        </w:rPr>
        <w:t>第十二条  本标准中的“护听器”是耳塞、耳罩和防噪声头盔的统称，公司可根据作业场所噪声的强度和频率，为作业人员配备。</w:t>
      </w:r>
    </w:p>
    <w:p>
      <w:pPr>
        <w:pStyle w:val="5"/>
        <w:spacing w:line="360" w:lineRule="auto"/>
        <w:ind w:firstLine="482"/>
        <w:rPr>
          <w:rFonts w:ascii="宋体" w:hAnsi="宋体"/>
          <w:sz w:val="24"/>
          <w:szCs w:val="24"/>
        </w:rPr>
      </w:pPr>
      <w:r>
        <w:rPr>
          <w:rFonts w:hint="eastAsia" w:ascii="宋体" w:hAnsi="宋体"/>
          <w:sz w:val="24"/>
          <w:szCs w:val="24"/>
        </w:rPr>
        <w:t>绝缘手套和绝缘鞋除按期更换外，还应做到每次使用前作绝缘性能的检查和每半年做一次绝缘性能复测。</w:t>
      </w:r>
    </w:p>
    <w:p>
      <w:pPr>
        <w:spacing w:line="360" w:lineRule="auto"/>
        <w:ind w:firstLine="480" w:firstLineChars="200"/>
        <w:rPr>
          <w:b w:val="0"/>
          <w:sz w:val="24"/>
          <w:szCs w:val="24"/>
        </w:rPr>
      </w:pPr>
      <w:r>
        <w:rPr>
          <w:rFonts w:hint="eastAsia"/>
          <w:b w:val="0"/>
          <w:sz w:val="24"/>
          <w:szCs w:val="24"/>
        </w:rPr>
        <w:t>第十三条  对眼部可能受铁屑等杂物飞溅伤害的工种，使用普通玻璃镜片受冲击后易碎，会引起佩戴者眼睛间接受伤，必须佩戴防冲击眼镜。</w:t>
      </w:r>
    </w:p>
    <w:p>
      <w:pPr>
        <w:spacing w:line="360" w:lineRule="auto"/>
        <w:ind w:firstLine="480" w:firstLineChars="200"/>
        <w:rPr>
          <w:b w:val="0"/>
          <w:sz w:val="24"/>
          <w:szCs w:val="24"/>
        </w:rPr>
      </w:pPr>
      <w:r>
        <w:rPr>
          <w:rFonts w:hint="eastAsia"/>
          <w:b w:val="0"/>
          <w:sz w:val="24"/>
          <w:szCs w:val="24"/>
        </w:rPr>
        <w:t>第十四条  生产管理、调度、保卫、安全检查以及实习、外来参观等有关人员，应根据其经常进入的生产区域，配备相应的劳动防护用品。</w:t>
      </w:r>
    </w:p>
    <w:p>
      <w:pPr>
        <w:spacing w:line="360" w:lineRule="auto"/>
        <w:ind w:firstLine="480" w:firstLineChars="200"/>
        <w:rPr>
          <w:b w:val="0"/>
          <w:sz w:val="24"/>
          <w:szCs w:val="24"/>
        </w:rPr>
      </w:pPr>
      <w:r>
        <w:rPr>
          <w:rFonts w:hint="eastAsia"/>
          <w:b w:val="0"/>
          <w:sz w:val="24"/>
          <w:szCs w:val="24"/>
        </w:rPr>
        <w:t>第十五条  在生产设备受损或失效时，有毒有害气体可能泄漏的作业场所，除对作业人员配备常规劳动防护用品外，还应在现场醒目处放置必需的防毒护具，以备逃生、抢救时应急使用。公司还应有专人和专门措施，保护其处于良好待用状态。</w:t>
      </w:r>
    </w:p>
    <w:p>
      <w:pPr>
        <w:spacing w:line="360" w:lineRule="auto"/>
        <w:ind w:firstLine="480" w:firstLineChars="200"/>
        <w:rPr>
          <w:b w:val="0"/>
          <w:sz w:val="24"/>
          <w:szCs w:val="24"/>
        </w:rPr>
      </w:pPr>
      <w:r>
        <w:rPr>
          <w:rFonts w:hint="eastAsia"/>
          <w:b w:val="0"/>
          <w:sz w:val="24"/>
          <w:szCs w:val="24"/>
        </w:rPr>
        <w:t>第十六条  建筑、工业安装等高处作业场所必须按规定架设安全网，作业人员根据不同的作业条件合理选用和佩带相应种类的安全带。</w:t>
      </w: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r>
        <w:rPr>
          <w:rFonts w:hint="eastAsia"/>
          <w:sz w:val="28"/>
          <w:szCs w:val="28"/>
        </w:rPr>
        <w:t>附件一</w:t>
      </w:r>
    </w:p>
    <w:p>
      <w:pPr>
        <w:spacing w:line="500" w:lineRule="exact"/>
        <w:jc w:val="center"/>
        <w:rPr>
          <w:sz w:val="32"/>
          <w:szCs w:val="32"/>
        </w:rPr>
      </w:pPr>
      <w:r>
        <w:rPr>
          <w:rFonts w:hint="eastAsia"/>
          <w:bCs w:val="0"/>
          <w:sz w:val="32"/>
          <w:szCs w:val="32"/>
          <w:lang w:eastAsia="zh-CN"/>
        </w:rPr>
        <w:t>西安牧源</w:t>
      </w:r>
      <w:r>
        <w:rPr>
          <w:rFonts w:hint="eastAsia"/>
          <w:bCs w:val="0"/>
          <w:sz w:val="32"/>
          <w:szCs w:val="32"/>
        </w:rPr>
        <w:t>饲料劳动防护用品配备标准</w:t>
      </w:r>
    </w:p>
    <w:tbl>
      <w:tblPr>
        <w:tblStyle w:val="17"/>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503"/>
        <w:gridCol w:w="537"/>
        <w:gridCol w:w="605"/>
        <w:gridCol w:w="541"/>
        <w:gridCol w:w="540"/>
        <w:gridCol w:w="540"/>
        <w:gridCol w:w="541"/>
        <w:gridCol w:w="540"/>
        <w:gridCol w:w="541"/>
        <w:gridCol w:w="540"/>
        <w:gridCol w:w="540"/>
        <w:gridCol w:w="541"/>
        <w:gridCol w:w="564"/>
        <w:gridCol w:w="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4"/>
                <w:szCs w:val="24"/>
              </w:rPr>
            </w:pPr>
            <w:r>
              <w:rPr>
                <w:rFonts w:hint="eastAsia"/>
                <w:sz w:val="24"/>
                <w:szCs w:val="24"/>
              </w:rPr>
              <w:t xml:space="preserve"> 序</w:t>
            </w:r>
          </w:p>
          <w:p>
            <w:pPr>
              <w:widowControl w:val="0"/>
              <w:spacing w:line="400" w:lineRule="exact"/>
              <w:jc w:val="center"/>
              <w:rPr>
                <w:sz w:val="24"/>
                <w:szCs w:val="24"/>
              </w:rPr>
            </w:pPr>
            <w:r>
              <w:rPr>
                <w:rFonts w:hint="eastAsia"/>
                <w:sz w:val="24"/>
                <w:szCs w:val="24"/>
              </w:rPr>
              <w:t>号</w:t>
            </w:r>
          </w:p>
        </w:tc>
        <w:tc>
          <w:tcPr>
            <w:tcW w:w="1503" w:type="dxa"/>
            <w:tcBorders>
              <w:top w:val="single" w:color="auto" w:sz="4" w:space="0"/>
              <w:left w:val="nil"/>
              <w:bottom w:val="single" w:color="auto" w:sz="4" w:space="0"/>
              <w:right w:val="single" w:color="auto" w:sz="4" w:space="0"/>
            </w:tcBorders>
          </w:tcPr>
          <w:p>
            <w:pPr>
              <w:spacing w:line="400" w:lineRule="exact"/>
              <w:ind w:left="482" w:hanging="482" w:hangingChars="200"/>
              <w:rPr>
                <w:sz w:val="24"/>
                <w:szCs w:val="24"/>
              </w:rPr>
            </w:pPr>
          </w:p>
          <w:p>
            <w:pPr>
              <w:spacing w:line="400" w:lineRule="exact"/>
              <w:ind w:left="482" w:hanging="482" w:hangingChars="200"/>
              <w:rPr>
                <w:sz w:val="24"/>
                <w:szCs w:val="24"/>
              </w:rPr>
            </w:pPr>
          </w:p>
          <w:p>
            <w:pPr>
              <w:spacing w:line="400" w:lineRule="exact"/>
              <w:ind w:left="482" w:hanging="482" w:hangingChars="200"/>
              <w:rPr>
                <w:sz w:val="24"/>
                <w:szCs w:val="24"/>
              </w:rPr>
            </w:pPr>
          </w:p>
          <w:p>
            <w:pPr>
              <w:spacing w:line="400" w:lineRule="exact"/>
              <w:ind w:left="482" w:hanging="482" w:hangingChars="200"/>
              <w:rPr>
                <w:sz w:val="24"/>
                <w:szCs w:val="24"/>
              </w:rPr>
            </w:pPr>
            <w:r>
              <w:rPr>
                <w:rFonts w:hint="eastAsia"/>
                <w:sz w:val="24"/>
                <w:szCs w:val="24"/>
              </w:rPr>
              <w:t>名称</w:t>
            </w:r>
          </w:p>
          <w:p>
            <w:pPr>
              <w:spacing w:line="400" w:lineRule="exact"/>
              <w:rPr>
                <w:sz w:val="24"/>
                <w:szCs w:val="24"/>
              </w:rPr>
            </w:pPr>
            <w:r>
              <w:rPr>
                <w:rFonts w:hint="eastAsia"/>
                <w:sz w:val="24"/>
                <w:szCs w:val="24"/>
              </w:rPr>
              <w:t>典型</w:t>
            </w:r>
          </w:p>
          <w:p>
            <w:pPr>
              <w:widowControl w:val="0"/>
              <w:spacing w:line="400" w:lineRule="exact"/>
              <w:jc w:val="both"/>
              <w:rPr>
                <w:sz w:val="24"/>
                <w:szCs w:val="24"/>
              </w:rPr>
            </w:pPr>
            <w:r>
              <w:rPr>
                <w:rFonts w:hint="eastAsia"/>
                <w:sz w:val="24"/>
                <w:szCs w:val="24"/>
              </w:rPr>
              <w:t>工种</w:t>
            </w:r>
          </w:p>
        </w:tc>
        <w:tc>
          <w:tcPr>
            <w:tcW w:w="537" w:type="dxa"/>
            <w:tcBorders>
              <w:top w:val="single" w:color="auto" w:sz="4" w:space="0"/>
              <w:left w:val="nil"/>
              <w:bottom w:val="single" w:color="auto" w:sz="4" w:space="0"/>
              <w:right w:val="single" w:color="auto" w:sz="4" w:space="0"/>
            </w:tcBorders>
            <w:vAlign w:val="center"/>
          </w:tcPr>
          <w:p>
            <w:pPr>
              <w:spacing w:line="400" w:lineRule="exact"/>
              <w:jc w:val="center"/>
              <w:rPr>
                <w:sz w:val="24"/>
                <w:szCs w:val="24"/>
              </w:rPr>
            </w:pPr>
            <w:r>
              <w:rPr>
                <w:rFonts w:hint="eastAsia"/>
                <w:sz w:val="24"/>
                <w:szCs w:val="24"/>
              </w:rPr>
              <w:t>工</w:t>
            </w:r>
          </w:p>
          <w:p>
            <w:pPr>
              <w:spacing w:line="400" w:lineRule="exact"/>
              <w:jc w:val="center"/>
              <w:rPr>
                <w:sz w:val="24"/>
                <w:szCs w:val="24"/>
              </w:rPr>
            </w:pPr>
            <w:r>
              <w:rPr>
                <w:rFonts w:hint="eastAsia"/>
                <w:sz w:val="24"/>
                <w:szCs w:val="24"/>
              </w:rPr>
              <w:t>作</w:t>
            </w:r>
          </w:p>
          <w:p>
            <w:pPr>
              <w:widowControl w:val="0"/>
              <w:spacing w:line="400" w:lineRule="exact"/>
              <w:jc w:val="center"/>
              <w:rPr>
                <w:sz w:val="24"/>
                <w:szCs w:val="24"/>
              </w:rPr>
            </w:pPr>
            <w:r>
              <w:rPr>
                <w:rFonts w:hint="eastAsia"/>
                <w:sz w:val="24"/>
                <w:szCs w:val="24"/>
              </w:rPr>
              <w:t>服</w:t>
            </w:r>
          </w:p>
        </w:tc>
        <w:tc>
          <w:tcPr>
            <w:tcW w:w="605" w:type="dxa"/>
            <w:tcBorders>
              <w:top w:val="single" w:color="auto" w:sz="4" w:space="0"/>
              <w:left w:val="nil"/>
              <w:bottom w:val="single" w:color="auto" w:sz="4" w:space="0"/>
              <w:right w:val="single" w:color="auto" w:sz="4" w:space="0"/>
            </w:tcBorders>
            <w:vAlign w:val="center"/>
          </w:tcPr>
          <w:p>
            <w:pPr>
              <w:widowControl w:val="0"/>
              <w:spacing w:line="400" w:lineRule="exact"/>
              <w:jc w:val="center"/>
              <w:rPr>
                <w:sz w:val="24"/>
                <w:szCs w:val="24"/>
              </w:rPr>
            </w:pPr>
            <w:r>
              <w:rPr>
                <w:rFonts w:hint="eastAsia"/>
                <w:sz w:val="24"/>
                <w:szCs w:val="24"/>
              </w:rPr>
              <w:t>工作帽</w:t>
            </w:r>
          </w:p>
        </w:tc>
        <w:tc>
          <w:tcPr>
            <w:tcW w:w="541" w:type="dxa"/>
            <w:tcBorders>
              <w:top w:val="single" w:color="auto" w:sz="4" w:space="0"/>
              <w:left w:val="nil"/>
              <w:bottom w:val="single" w:color="auto" w:sz="4" w:space="0"/>
              <w:right w:val="single" w:color="auto" w:sz="4" w:space="0"/>
            </w:tcBorders>
            <w:vAlign w:val="center"/>
          </w:tcPr>
          <w:p>
            <w:pPr>
              <w:spacing w:line="400" w:lineRule="exact"/>
              <w:jc w:val="center"/>
              <w:rPr>
                <w:sz w:val="24"/>
                <w:szCs w:val="24"/>
              </w:rPr>
            </w:pPr>
            <w:r>
              <w:rPr>
                <w:rFonts w:hint="eastAsia"/>
                <w:sz w:val="24"/>
                <w:szCs w:val="24"/>
              </w:rPr>
              <w:t>工</w:t>
            </w:r>
          </w:p>
          <w:p>
            <w:pPr>
              <w:spacing w:line="400" w:lineRule="exact"/>
              <w:jc w:val="center"/>
              <w:rPr>
                <w:sz w:val="24"/>
                <w:szCs w:val="24"/>
              </w:rPr>
            </w:pPr>
            <w:r>
              <w:rPr>
                <w:rFonts w:hint="eastAsia"/>
                <w:sz w:val="24"/>
                <w:szCs w:val="24"/>
              </w:rPr>
              <w:t>作</w:t>
            </w:r>
          </w:p>
          <w:p>
            <w:pPr>
              <w:widowControl w:val="0"/>
              <w:spacing w:line="400" w:lineRule="exact"/>
              <w:jc w:val="center"/>
              <w:rPr>
                <w:sz w:val="24"/>
                <w:szCs w:val="24"/>
              </w:rPr>
            </w:pPr>
            <w:r>
              <w:rPr>
                <w:rFonts w:hint="eastAsia"/>
                <w:sz w:val="24"/>
                <w:szCs w:val="24"/>
              </w:rPr>
              <w:t>鞋</w:t>
            </w:r>
          </w:p>
        </w:tc>
        <w:tc>
          <w:tcPr>
            <w:tcW w:w="540" w:type="dxa"/>
            <w:tcBorders>
              <w:top w:val="single" w:color="auto" w:sz="4" w:space="0"/>
              <w:left w:val="nil"/>
              <w:bottom w:val="single" w:color="auto" w:sz="4" w:space="0"/>
              <w:right w:val="single" w:color="auto" w:sz="4" w:space="0"/>
            </w:tcBorders>
            <w:vAlign w:val="center"/>
          </w:tcPr>
          <w:p>
            <w:pPr>
              <w:spacing w:line="400" w:lineRule="exact"/>
              <w:jc w:val="center"/>
              <w:rPr>
                <w:sz w:val="24"/>
                <w:szCs w:val="24"/>
              </w:rPr>
            </w:pPr>
            <w:r>
              <w:rPr>
                <w:rFonts w:hint="eastAsia"/>
                <w:sz w:val="24"/>
                <w:szCs w:val="24"/>
              </w:rPr>
              <w:t>劳</w:t>
            </w:r>
          </w:p>
          <w:p>
            <w:pPr>
              <w:spacing w:line="400" w:lineRule="exact"/>
              <w:jc w:val="center"/>
              <w:rPr>
                <w:sz w:val="24"/>
                <w:szCs w:val="24"/>
              </w:rPr>
            </w:pPr>
            <w:r>
              <w:rPr>
                <w:rFonts w:hint="eastAsia"/>
                <w:sz w:val="24"/>
                <w:szCs w:val="24"/>
              </w:rPr>
              <w:t>动</w:t>
            </w:r>
          </w:p>
          <w:p>
            <w:pPr>
              <w:spacing w:line="400" w:lineRule="exact"/>
              <w:jc w:val="center"/>
              <w:rPr>
                <w:sz w:val="24"/>
                <w:szCs w:val="24"/>
              </w:rPr>
            </w:pPr>
            <w:r>
              <w:rPr>
                <w:rFonts w:hint="eastAsia"/>
                <w:sz w:val="24"/>
                <w:szCs w:val="24"/>
              </w:rPr>
              <w:t>手</w:t>
            </w:r>
          </w:p>
          <w:p>
            <w:pPr>
              <w:widowControl w:val="0"/>
              <w:spacing w:line="400" w:lineRule="exact"/>
              <w:jc w:val="center"/>
              <w:rPr>
                <w:sz w:val="24"/>
                <w:szCs w:val="24"/>
              </w:rPr>
            </w:pPr>
            <w:r>
              <w:rPr>
                <w:rFonts w:hint="eastAsia"/>
                <w:sz w:val="24"/>
                <w:szCs w:val="24"/>
              </w:rPr>
              <w:t>套</w:t>
            </w:r>
          </w:p>
        </w:tc>
        <w:tc>
          <w:tcPr>
            <w:tcW w:w="540" w:type="dxa"/>
            <w:tcBorders>
              <w:top w:val="single" w:color="auto" w:sz="4" w:space="0"/>
              <w:left w:val="nil"/>
              <w:bottom w:val="single" w:color="auto" w:sz="4" w:space="0"/>
              <w:right w:val="single" w:color="auto" w:sz="4" w:space="0"/>
            </w:tcBorders>
            <w:vAlign w:val="center"/>
          </w:tcPr>
          <w:p>
            <w:pPr>
              <w:spacing w:line="400" w:lineRule="exact"/>
              <w:jc w:val="center"/>
              <w:rPr>
                <w:sz w:val="24"/>
                <w:szCs w:val="24"/>
              </w:rPr>
            </w:pPr>
            <w:r>
              <w:rPr>
                <w:rFonts w:hint="eastAsia"/>
                <w:sz w:val="24"/>
                <w:szCs w:val="24"/>
              </w:rPr>
              <w:t>防</w:t>
            </w:r>
          </w:p>
          <w:p>
            <w:pPr>
              <w:spacing w:line="400" w:lineRule="exact"/>
              <w:jc w:val="center"/>
              <w:rPr>
                <w:sz w:val="24"/>
                <w:szCs w:val="24"/>
              </w:rPr>
            </w:pPr>
            <w:r>
              <w:rPr>
                <w:rFonts w:hint="eastAsia"/>
                <w:sz w:val="24"/>
                <w:szCs w:val="24"/>
              </w:rPr>
              <w:t>寒</w:t>
            </w:r>
          </w:p>
          <w:p>
            <w:pPr>
              <w:widowControl w:val="0"/>
              <w:spacing w:line="400" w:lineRule="exact"/>
              <w:jc w:val="center"/>
              <w:rPr>
                <w:sz w:val="24"/>
                <w:szCs w:val="24"/>
              </w:rPr>
            </w:pPr>
            <w:r>
              <w:rPr>
                <w:rFonts w:hint="eastAsia"/>
                <w:sz w:val="24"/>
                <w:szCs w:val="24"/>
              </w:rPr>
              <w:t>服</w:t>
            </w:r>
          </w:p>
        </w:tc>
        <w:tc>
          <w:tcPr>
            <w:tcW w:w="541" w:type="dxa"/>
            <w:tcBorders>
              <w:top w:val="single" w:color="auto" w:sz="4" w:space="0"/>
              <w:left w:val="nil"/>
              <w:bottom w:val="single" w:color="auto" w:sz="4" w:space="0"/>
              <w:right w:val="single" w:color="auto" w:sz="4" w:space="0"/>
            </w:tcBorders>
            <w:vAlign w:val="center"/>
          </w:tcPr>
          <w:p>
            <w:pPr>
              <w:spacing w:line="400" w:lineRule="exact"/>
              <w:jc w:val="center"/>
              <w:rPr>
                <w:sz w:val="24"/>
                <w:szCs w:val="24"/>
              </w:rPr>
            </w:pPr>
            <w:r>
              <w:rPr>
                <w:rFonts w:hint="eastAsia"/>
                <w:sz w:val="24"/>
                <w:szCs w:val="24"/>
              </w:rPr>
              <w:t>雨</w:t>
            </w:r>
          </w:p>
          <w:p>
            <w:pPr>
              <w:widowControl w:val="0"/>
              <w:spacing w:line="400" w:lineRule="exact"/>
              <w:jc w:val="center"/>
              <w:rPr>
                <w:sz w:val="24"/>
                <w:szCs w:val="24"/>
              </w:rPr>
            </w:pPr>
            <w:r>
              <w:rPr>
                <w:rFonts w:hint="eastAsia"/>
                <w:sz w:val="24"/>
                <w:szCs w:val="24"/>
              </w:rPr>
              <w:t>衣</w:t>
            </w:r>
          </w:p>
        </w:tc>
        <w:tc>
          <w:tcPr>
            <w:tcW w:w="540" w:type="dxa"/>
            <w:tcBorders>
              <w:top w:val="single" w:color="auto" w:sz="4" w:space="0"/>
              <w:left w:val="nil"/>
              <w:bottom w:val="single" w:color="auto" w:sz="4" w:space="0"/>
              <w:right w:val="single" w:color="auto" w:sz="4" w:space="0"/>
            </w:tcBorders>
            <w:vAlign w:val="center"/>
          </w:tcPr>
          <w:p>
            <w:pPr>
              <w:widowControl w:val="0"/>
              <w:spacing w:line="400" w:lineRule="exact"/>
              <w:jc w:val="center"/>
              <w:rPr>
                <w:sz w:val="24"/>
                <w:szCs w:val="24"/>
              </w:rPr>
            </w:pPr>
            <w:r>
              <w:rPr>
                <w:rFonts w:hint="eastAsia"/>
                <w:sz w:val="24"/>
                <w:szCs w:val="24"/>
              </w:rPr>
              <w:t>胶鞋</w:t>
            </w:r>
          </w:p>
        </w:tc>
        <w:tc>
          <w:tcPr>
            <w:tcW w:w="541" w:type="dxa"/>
            <w:tcBorders>
              <w:top w:val="single" w:color="auto" w:sz="4" w:space="0"/>
              <w:left w:val="nil"/>
              <w:bottom w:val="single" w:color="auto" w:sz="4" w:space="0"/>
              <w:right w:val="single" w:color="auto" w:sz="4" w:space="0"/>
            </w:tcBorders>
            <w:vAlign w:val="center"/>
          </w:tcPr>
          <w:p>
            <w:pPr>
              <w:widowControl w:val="0"/>
              <w:spacing w:line="400" w:lineRule="exact"/>
              <w:jc w:val="center"/>
              <w:rPr>
                <w:sz w:val="24"/>
                <w:szCs w:val="24"/>
              </w:rPr>
            </w:pPr>
            <w:r>
              <w:rPr>
                <w:rFonts w:hint="eastAsia"/>
                <w:sz w:val="24"/>
                <w:szCs w:val="24"/>
              </w:rPr>
              <w:t>眼防护</w:t>
            </w:r>
          </w:p>
        </w:tc>
        <w:tc>
          <w:tcPr>
            <w:tcW w:w="540" w:type="dxa"/>
            <w:tcBorders>
              <w:top w:val="single" w:color="auto" w:sz="4" w:space="0"/>
              <w:left w:val="nil"/>
              <w:bottom w:val="single" w:color="auto" w:sz="4" w:space="0"/>
              <w:right w:val="single" w:color="auto" w:sz="4" w:space="0"/>
            </w:tcBorders>
            <w:vAlign w:val="center"/>
          </w:tcPr>
          <w:p>
            <w:pPr>
              <w:widowControl w:val="0"/>
              <w:spacing w:line="400" w:lineRule="exact"/>
              <w:jc w:val="center"/>
              <w:rPr>
                <w:sz w:val="24"/>
                <w:szCs w:val="24"/>
              </w:rPr>
            </w:pPr>
            <w:r>
              <w:rPr>
                <w:rFonts w:hint="eastAsia"/>
                <w:sz w:val="24"/>
                <w:szCs w:val="24"/>
              </w:rPr>
              <w:t>防尘口罩</w:t>
            </w:r>
          </w:p>
        </w:tc>
        <w:tc>
          <w:tcPr>
            <w:tcW w:w="540" w:type="dxa"/>
            <w:tcBorders>
              <w:top w:val="single" w:color="auto" w:sz="4" w:space="0"/>
              <w:left w:val="nil"/>
              <w:bottom w:val="single" w:color="auto" w:sz="4" w:space="0"/>
              <w:right w:val="single" w:color="auto" w:sz="4" w:space="0"/>
            </w:tcBorders>
            <w:vAlign w:val="center"/>
          </w:tcPr>
          <w:p>
            <w:pPr>
              <w:widowControl w:val="0"/>
              <w:spacing w:line="400" w:lineRule="exact"/>
              <w:jc w:val="center"/>
              <w:rPr>
                <w:sz w:val="24"/>
                <w:szCs w:val="24"/>
              </w:rPr>
            </w:pPr>
            <w:r>
              <w:rPr>
                <w:rFonts w:hint="eastAsia"/>
                <w:sz w:val="24"/>
                <w:szCs w:val="24"/>
              </w:rPr>
              <w:t>防毒面具</w:t>
            </w:r>
          </w:p>
        </w:tc>
        <w:tc>
          <w:tcPr>
            <w:tcW w:w="541" w:type="dxa"/>
            <w:tcBorders>
              <w:top w:val="single" w:color="auto" w:sz="4" w:space="0"/>
              <w:left w:val="nil"/>
              <w:bottom w:val="single" w:color="auto" w:sz="4" w:space="0"/>
              <w:right w:val="single" w:color="auto" w:sz="4" w:space="0"/>
            </w:tcBorders>
            <w:vAlign w:val="center"/>
          </w:tcPr>
          <w:p>
            <w:pPr>
              <w:widowControl w:val="0"/>
              <w:spacing w:line="400" w:lineRule="exact"/>
              <w:jc w:val="center"/>
              <w:rPr>
                <w:sz w:val="24"/>
                <w:szCs w:val="24"/>
              </w:rPr>
            </w:pPr>
            <w:r>
              <w:rPr>
                <w:rFonts w:hint="eastAsia"/>
                <w:sz w:val="24"/>
                <w:szCs w:val="24"/>
              </w:rPr>
              <w:t>安全帽</w:t>
            </w:r>
          </w:p>
        </w:tc>
        <w:tc>
          <w:tcPr>
            <w:tcW w:w="564" w:type="dxa"/>
            <w:tcBorders>
              <w:top w:val="single" w:color="auto" w:sz="4" w:space="0"/>
              <w:left w:val="nil"/>
              <w:bottom w:val="single" w:color="auto" w:sz="4" w:space="0"/>
              <w:right w:val="single" w:color="auto" w:sz="4" w:space="0"/>
            </w:tcBorders>
            <w:vAlign w:val="center"/>
          </w:tcPr>
          <w:p>
            <w:pPr>
              <w:widowControl w:val="0"/>
              <w:spacing w:line="400" w:lineRule="exact"/>
              <w:jc w:val="center"/>
              <w:rPr>
                <w:sz w:val="24"/>
                <w:szCs w:val="24"/>
              </w:rPr>
            </w:pPr>
            <w:r>
              <w:rPr>
                <w:rFonts w:hint="eastAsia"/>
                <w:sz w:val="24"/>
                <w:szCs w:val="24"/>
              </w:rPr>
              <w:t>安全带</w:t>
            </w:r>
          </w:p>
        </w:tc>
        <w:tc>
          <w:tcPr>
            <w:tcW w:w="517" w:type="dxa"/>
            <w:tcBorders>
              <w:top w:val="single" w:color="auto" w:sz="4" w:space="0"/>
              <w:left w:val="nil"/>
              <w:bottom w:val="single" w:color="auto" w:sz="4" w:space="0"/>
              <w:right w:val="single" w:color="auto" w:sz="4" w:space="0"/>
            </w:tcBorders>
            <w:vAlign w:val="center"/>
          </w:tcPr>
          <w:p>
            <w:pPr>
              <w:widowControl w:val="0"/>
              <w:spacing w:line="400" w:lineRule="exact"/>
              <w:jc w:val="center"/>
              <w:rPr>
                <w:sz w:val="24"/>
                <w:szCs w:val="24"/>
              </w:rPr>
            </w:pPr>
            <w:r>
              <w:rPr>
                <w:rFonts w:hint="eastAsia"/>
                <w:sz w:val="24"/>
                <w:szCs w:val="24"/>
              </w:rPr>
              <w:t>护听器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r>
              <w:rPr>
                <w:rFonts w:hint="eastAsia"/>
                <w:sz w:val="24"/>
                <w:szCs w:val="24"/>
              </w:rPr>
              <w:t>1</w:t>
            </w: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仓库保管员</w:t>
            </w:r>
          </w:p>
        </w:tc>
        <w:tc>
          <w:tcPr>
            <w:tcW w:w="53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班组长</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装卸工</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电焊工</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化验员</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叉车司机</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汽车司机</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维修工</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电工</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厨师</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管理人员</w:t>
            </w: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r>
              <w:rPr>
                <w:rFonts w:hint="eastAsia"/>
                <w:sz w:val="24"/>
                <w:szCs w:val="24"/>
              </w:rPr>
              <w:t>√</w:t>
            </w: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r>
              <w:rPr>
                <w:rFonts w:hint="eastAsia"/>
                <w:sz w:val="24"/>
                <w:szCs w:val="24"/>
              </w:rPr>
              <w:t>√</w:t>
            </w: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spacing w:line="320" w:lineRule="exact"/>
              <w:jc w:val="center"/>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spacing w:line="320" w:lineRule="exact"/>
              <w:ind w:left="420"/>
              <w:rPr>
                <w:sz w:val="24"/>
                <w:szCs w:val="24"/>
              </w:rPr>
            </w:pPr>
          </w:p>
        </w:tc>
        <w:tc>
          <w:tcPr>
            <w:tcW w:w="150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537"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605"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41"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0"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41" w:type="dxa"/>
            <w:tcBorders>
              <w:top w:val="single" w:color="auto" w:sz="4" w:space="0"/>
              <w:left w:val="nil"/>
              <w:bottom w:val="single" w:color="auto" w:sz="4" w:space="0"/>
              <w:right w:val="single" w:color="auto" w:sz="4" w:space="0"/>
            </w:tcBorders>
          </w:tcPr>
          <w:p>
            <w:pPr>
              <w:widowControl w:val="0"/>
              <w:jc w:val="both"/>
              <w:rPr>
                <w:sz w:val="24"/>
                <w:szCs w:val="24"/>
              </w:rPr>
            </w:pPr>
          </w:p>
        </w:tc>
        <w:tc>
          <w:tcPr>
            <w:tcW w:w="564"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c>
          <w:tcPr>
            <w:tcW w:w="517" w:type="dxa"/>
            <w:tcBorders>
              <w:top w:val="single" w:color="auto" w:sz="4" w:space="0"/>
              <w:left w:val="nil"/>
              <w:bottom w:val="single" w:color="auto" w:sz="4" w:space="0"/>
              <w:right w:val="single" w:color="auto" w:sz="4" w:space="0"/>
            </w:tcBorders>
          </w:tcPr>
          <w:p>
            <w:pPr>
              <w:widowControl w:val="0"/>
              <w:spacing w:line="320" w:lineRule="exact"/>
              <w:jc w:val="center"/>
              <w:rPr>
                <w:sz w:val="24"/>
                <w:szCs w:val="24"/>
              </w:rPr>
            </w:pPr>
          </w:p>
        </w:tc>
      </w:tr>
    </w:tbl>
    <w:p>
      <w:pPr>
        <w:spacing w:line="500" w:lineRule="exact"/>
        <w:rPr>
          <w:sz w:val="24"/>
          <w:szCs w:val="24"/>
        </w:rPr>
      </w:pPr>
      <w:r>
        <w:rPr>
          <w:rFonts w:hint="eastAsia"/>
          <w:sz w:val="24"/>
          <w:szCs w:val="24"/>
        </w:rPr>
        <w:t xml:space="preserve"> </w:t>
      </w:r>
    </w:p>
    <w:p>
      <w:pPr>
        <w:spacing w:line="500" w:lineRule="exact"/>
        <w:rPr>
          <w:sz w:val="24"/>
          <w:szCs w:val="24"/>
        </w:rPr>
        <w:sectPr>
          <w:pgSz w:w="11906" w:h="16838"/>
          <w:pgMar w:top="1440" w:right="1797" w:bottom="1440" w:left="1797" w:header="851" w:footer="992" w:gutter="0"/>
          <w:cols w:space="425" w:num="1"/>
          <w:docGrid w:type="lines" w:linePitch="312" w:charSpace="0"/>
        </w:sectPr>
      </w:pPr>
    </w:p>
    <w:p>
      <w:pPr>
        <w:jc w:val="center"/>
        <w:rPr>
          <w:rFonts w:ascii="时尚中黑简体" w:hAnsi="时尚中黑简体" w:eastAsia="时尚中黑简体" w:cs="Times New Roman"/>
          <w:bCs w:val="0"/>
          <w:color w:val="000000" w:themeColor="text1"/>
          <w:sz w:val="44"/>
          <w:szCs w:val="44"/>
          <w14:textFill>
            <w14:solidFill>
              <w14:schemeClr w14:val="tx1"/>
            </w14:solidFill>
          </w14:textFill>
        </w:rPr>
      </w:pPr>
      <w:r>
        <w:rPr>
          <w:rFonts w:hint="eastAsia" w:ascii="时尚中黑简体" w:hAnsi="时尚中黑简体" w:eastAsia="时尚中黑简体" w:cs="Times New Roman"/>
          <w:bCs w:val="0"/>
          <w:color w:val="000000" w:themeColor="text1"/>
          <w:sz w:val="44"/>
          <w:szCs w:val="44"/>
          <w:lang w:eastAsia="zh-CN"/>
          <w14:textFill>
            <w14:solidFill>
              <w14:schemeClr w14:val="tx1"/>
            </w14:solidFill>
          </w14:textFill>
        </w:rPr>
        <w:t>西安牧源</w:t>
      </w:r>
      <w:r>
        <w:rPr>
          <w:rFonts w:hint="eastAsia" w:ascii="时尚中黑简体" w:hAnsi="时尚中黑简体" w:eastAsia="时尚中黑简体" w:cs="Times New Roman"/>
          <w:bCs w:val="0"/>
          <w:color w:val="000000" w:themeColor="text1"/>
          <w:sz w:val="44"/>
          <w:szCs w:val="44"/>
          <w14:textFill>
            <w14:solidFill>
              <w14:schemeClr w14:val="tx1"/>
            </w14:solidFill>
          </w14:textFill>
        </w:rPr>
        <w:t>饲料有限公司</w:t>
      </w:r>
    </w:p>
    <w:p>
      <w:pPr>
        <w:jc w:val="center"/>
        <w:rPr>
          <w:rFonts w:cs="Arial"/>
          <w:color w:val="000000"/>
          <w:sz w:val="32"/>
          <w:szCs w:val="32"/>
        </w:rPr>
      </w:pPr>
      <w:r>
        <w:rPr>
          <w:rFonts w:hint="eastAsia" w:cs="Arial"/>
          <w:bCs w:val="0"/>
          <w:color w:val="000000"/>
          <w:sz w:val="32"/>
          <w:szCs w:val="32"/>
        </w:rPr>
        <w:t>劳动防护用品发放台帐</w:t>
      </w:r>
    </w:p>
    <w:tbl>
      <w:tblPr>
        <w:tblStyle w:val="17"/>
        <w:tblW w:w="15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980"/>
        <w:gridCol w:w="2196"/>
        <w:gridCol w:w="2745"/>
        <w:gridCol w:w="1788"/>
        <w:gridCol w:w="2327"/>
        <w:gridCol w:w="3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jc w:val="center"/>
              <w:rPr>
                <w:rFonts w:ascii="宋体" w:hAnsi="宋体"/>
                <w:sz w:val="24"/>
                <w:szCs w:val="24"/>
              </w:rPr>
            </w:pPr>
            <w:r>
              <w:rPr>
                <w:rFonts w:hint="eastAsia" w:ascii="宋体" w:hAnsi="宋体"/>
                <w:sz w:val="24"/>
                <w:szCs w:val="24"/>
              </w:rPr>
              <w:t>序号</w:t>
            </w:r>
          </w:p>
        </w:tc>
        <w:tc>
          <w:tcPr>
            <w:tcW w:w="1980" w:type="dxa"/>
            <w:tcBorders>
              <w:top w:val="single" w:color="auto" w:sz="4" w:space="0"/>
              <w:left w:val="nil"/>
              <w:bottom w:val="single" w:color="auto" w:sz="4" w:space="0"/>
              <w:right w:val="single" w:color="auto" w:sz="4" w:space="0"/>
            </w:tcBorders>
            <w:vAlign w:val="center"/>
          </w:tcPr>
          <w:p>
            <w:pPr>
              <w:pStyle w:val="5"/>
              <w:jc w:val="center"/>
              <w:rPr>
                <w:rFonts w:ascii="宋体" w:hAnsi="宋体"/>
                <w:sz w:val="24"/>
                <w:szCs w:val="24"/>
              </w:rPr>
            </w:pPr>
            <w:r>
              <w:rPr>
                <w:rFonts w:hint="eastAsia" w:ascii="宋体" w:hAnsi="宋体"/>
                <w:sz w:val="24"/>
                <w:szCs w:val="24"/>
              </w:rPr>
              <w:t>姓名</w:t>
            </w:r>
          </w:p>
        </w:tc>
        <w:tc>
          <w:tcPr>
            <w:tcW w:w="2196" w:type="dxa"/>
            <w:tcBorders>
              <w:top w:val="single" w:color="auto" w:sz="4" w:space="0"/>
              <w:left w:val="nil"/>
              <w:bottom w:val="single" w:color="auto" w:sz="4" w:space="0"/>
              <w:right w:val="single" w:color="auto" w:sz="4" w:space="0"/>
            </w:tcBorders>
            <w:vAlign w:val="center"/>
          </w:tcPr>
          <w:p>
            <w:pPr>
              <w:pStyle w:val="5"/>
              <w:jc w:val="center"/>
              <w:rPr>
                <w:rFonts w:ascii="宋体" w:hAnsi="宋体"/>
                <w:sz w:val="24"/>
                <w:szCs w:val="24"/>
              </w:rPr>
            </w:pPr>
            <w:r>
              <w:rPr>
                <w:rFonts w:hint="eastAsia" w:ascii="宋体" w:hAnsi="宋体"/>
                <w:sz w:val="24"/>
                <w:szCs w:val="24"/>
              </w:rPr>
              <w:t>部门</w:t>
            </w:r>
          </w:p>
        </w:tc>
        <w:tc>
          <w:tcPr>
            <w:tcW w:w="2745" w:type="dxa"/>
            <w:tcBorders>
              <w:top w:val="single" w:color="auto" w:sz="4" w:space="0"/>
              <w:left w:val="nil"/>
              <w:bottom w:val="single" w:color="auto" w:sz="4" w:space="0"/>
              <w:right w:val="single" w:color="auto" w:sz="4" w:space="0"/>
            </w:tcBorders>
            <w:vAlign w:val="center"/>
          </w:tcPr>
          <w:p>
            <w:pPr>
              <w:pStyle w:val="5"/>
              <w:jc w:val="center"/>
              <w:rPr>
                <w:rFonts w:ascii="宋体" w:hAnsi="宋体"/>
                <w:sz w:val="24"/>
                <w:szCs w:val="24"/>
              </w:rPr>
            </w:pPr>
            <w:r>
              <w:rPr>
                <w:rFonts w:hint="eastAsia" w:ascii="宋体" w:hAnsi="宋体"/>
                <w:sz w:val="24"/>
                <w:szCs w:val="24"/>
              </w:rPr>
              <w:t>领用产品</w:t>
            </w:r>
          </w:p>
        </w:tc>
        <w:tc>
          <w:tcPr>
            <w:tcW w:w="1788" w:type="dxa"/>
            <w:tcBorders>
              <w:top w:val="single" w:color="auto" w:sz="4" w:space="0"/>
              <w:left w:val="nil"/>
              <w:bottom w:val="single" w:color="auto" w:sz="4" w:space="0"/>
              <w:right w:val="single" w:color="auto" w:sz="4" w:space="0"/>
            </w:tcBorders>
            <w:vAlign w:val="center"/>
          </w:tcPr>
          <w:p>
            <w:pPr>
              <w:pStyle w:val="5"/>
              <w:jc w:val="center"/>
              <w:rPr>
                <w:rFonts w:ascii="宋体" w:hAnsi="宋体"/>
                <w:sz w:val="24"/>
                <w:szCs w:val="24"/>
              </w:rPr>
            </w:pPr>
            <w:r>
              <w:rPr>
                <w:rFonts w:hint="eastAsia" w:ascii="宋体" w:hAnsi="宋体"/>
                <w:sz w:val="24"/>
                <w:szCs w:val="24"/>
              </w:rPr>
              <w:t>领用日期</w:t>
            </w:r>
          </w:p>
        </w:tc>
        <w:tc>
          <w:tcPr>
            <w:tcW w:w="2327" w:type="dxa"/>
            <w:tcBorders>
              <w:top w:val="single" w:color="auto" w:sz="4" w:space="0"/>
              <w:left w:val="nil"/>
              <w:bottom w:val="single" w:color="auto" w:sz="4" w:space="0"/>
              <w:right w:val="single" w:color="auto" w:sz="4" w:space="0"/>
            </w:tcBorders>
            <w:vAlign w:val="center"/>
          </w:tcPr>
          <w:p>
            <w:pPr>
              <w:pStyle w:val="5"/>
              <w:jc w:val="center"/>
              <w:rPr>
                <w:rFonts w:ascii="宋体" w:hAnsi="宋体"/>
                <w:sz w:val="24"/>
                <w:szCs w:val="24"/>
              </w:rPr>
            </w:pPr>
            <w:r>
              <w:rPr>
                <w:rFonts w:hint="eastAsia" w:ascii="宋体" w:hAnsi="宋体"/>
                <w:sz w:val="24"/>
                <w:szCs w:val="24"/>
              </w:rPr>
              <w:t>领用人签名</w:t>
            </w:r>
          </w:p>
        </w:tc>
        <w:tc>
          <w:tcPr>
            <w:tcW w:w="3488" w:type="dxa"/>
            <w:tcBorders>
              <w:top w:val="single" w:color="auto" w:sz="4" w:space="0"/>
              <w:left w:val="nil"/>
              <w:bottom w:val="single" w:color="auto" w:sz="4" w:space="0"/>
              <w:right w:val="single" w:color="auto" w:sz="4" w:space="0"/>
            </w:tcBorders>
            <w:vAlign w:val="center"/>
          </w:tcPr>
          <w:p>
            <w:pPr>
              <w:pStyle w:val="5"/>
              <w:jc w:val="center"/>
              <w:rPr>
                <w:rFonts w:ascii="宋体" w:hAnsi="宋体"/>
                <w:sz w:val="24"/>
                <w:szCs w:val="24"/>
              </w:rPr>
            </w:pPr>
            <w:r>
              <w:rPr>
                <w:rFonts w:hint="eastAsia" w:ascii="宋体" w:hAnsi="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
              <w:ind w:firstLine="482"/>
              <w:jc w:val="center"/>
              <w:rPr>
                <w:rFonts w:ascii="宋体" w:hAnsi="宋体"/>
                <w:sz w:val="24"/>
                <w:szCs w:val="24"/>
              </w:rPr>
            </w:pPr>
          </w:p>
        </w:tc>
        <w:tc>
          <w:tcPr>
            <w:tcW w:w="1980"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196"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745"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17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2327"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c>
          <w:tcPr>
            <w:tcW w:w="3488" w:type="dxa"/>
            <w:tcBorders>
              <w:top w:val="single" w:color="auto" w:sz="4" w:space="0"/>
              <w:left w:val="nil"/>
              <w:bottom w:val="single" w:color="auto" w:sz="4" w:space="0"/>
              <w:right w:val="single" w:color="auto" w:sz="4" w:space="0"/>
            </w:tcBorders>
            <w:vAlign w:val="center"/>
          </w:tcPr>
          <w:p>
            <w:pPr>
              <w:pStyle w:val="5"/>
              <w:ind w:firstLine="482"/>
              <w:jc w:val="center"/>
              <w:rPr>
                <w:rFonts w:ascii="宋体" w:hAnsi="宋体"/>
                <w:sz w:val="24"/>
                <w:szCs w:val="24"/>
              </w:rPr>
            </w:pPr>
          </w:p>
        </w:tc>
      </w:tr>
    </w:tbl>
    <w:p>
      <w:pPr>
        <w:pStyle w:val="5"/>
        <w:jc w:val="center"/>
        <w:rPr>
          <w:rFonts w:ascii="时尚中黑简体" w:hAnsi="时尚中黑简体" w:eastAsia="时尚中黑简体"/>
          <w:bCs/>
          <w:color w:val="FF0000"/>
        </w:rPr>
        <w:sectPr>
          <w:pgSz w:w="16838" w:h="11906" w:orient="landscape"/>
          <w:pgMar w:top="1797" w:right="1440" w:bottom="1797" w:left="1440" w:header="851" w:footer="992" w:gutter="0"/>
          <w:cols w:space="425" w:num="1"/>
          <w:docGrid w:type="linesAndChars" w:linePitch="312" w:charSpace="0"/>
        </w:sectPr>
      </w:pPr>
    </w:p>
    <w:p>
      <w:pPr>
        <w:jc w:val="center"/>
        <w:rPr>
          <w:b w:val="0"/>
          <w:sz w:val="24"/>
          <w:szCs w:val="24"/>
        </w:rPr>
      </w:pPr>
      <w:bookmarkStart w:id="0" w:name="_GoBack"/>
      <w:bookmarkEnd w:id="0"/>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MingLiU">
    <w:panose1 w:val="02020509000000000000"/>
    <w:charset w:val="88"/>
    <w:family w:val="modern"/>
    <w:pitch w:val="default"/>
    <w:sig w:usb0="A00002FF" w:usb1="28CFFCFA" w:usb2="00000016" w:usb3="00000000" w:csb0="00100001" w:csb1="00000000"/>
  </w:font>
  <w:font w:name="PMingLiU">
    <w:panose1 w:val="02020500000000000000"/>
    <w:charset w:val="88"/>
    <w:family w:val="roman"/>
    <w:pitch w:val="default"/>
    <w:sig w:usb0="A00002FF" w:usb1="28CFFCFA" w:usb2="00000016" w:usb3="00000000" w:csb0="00100001" w:csb1="00000000"/>
  </w:font>
  <w:font w:name="仿宋_GB2312">
    <w:altName w:val="Arial Unicode MS"/>
    <w:panose1 w:val="00000000000000000000"/>
    <w:charset w:val="00"/>
    <w:family w:val="auto"/>
    <w:pitch w:val="default"/>
    <w:sig w:usb0="00000000" w:usb1="00000000" w:usb2="00000000" w:usb3="00000000" w:csb0="00000000" w:csb1="00000000"/>
  </w:font>
  <w:font w:name="仿宋">
    <w:altName w:val="MS Gothic"/>
    <w:panose1 w:val="02010609060101010101"/>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F2515"/>
    <w:multiLevelType w:val="multilevel"/>
    <w:tmpl w:val="283F2515"/>
    <w:lvl w:ilvl="0" w:tentative="0">
      <w:start w:val="1"/>
      <w:numFmt w:val="decimal"/>
      <w:lvlText w:val="%1"/>
      <w:lvlJc w:val="left"/>
      <w:pPr>
        <w:ind w:left="420" w:hanging="420"/>
      </w:pPr>
      <w:rPr>
        <w:rFonts w:hint="eastAsia" w:ascii="宋体" w:hAnsi="宋体" w:eastAsia="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84C108C"/>
    <w:rsid w:val="2A7D7C33"/>
    <w:rsid w:val="2E194079"/>
    <w:rsid w:val="40334993"/>
    <w:rsid w:val="41C35A37"/>
    <w:rsid w:val="47E108D0"/>
    <w:rsid w:val="57B33E9D"/>
    <w:rsid w:val="76984A3E"/>
    <w:rsid w:val="7FC20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qFormat/>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1</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2020-05-30T02:42:57Z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