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ascii="时尚中黑简体" w:hAnsi="时尚中黑简体" w:eastAsia="时尚中黑简体"/>
          <w:bCs/>
          <w:color w:val="000000" w:themeColor="text1"/>
          <w14:textFill>
            <w14:solidFill>
              <w14:schemeClr w14:val="tx1"/>
            </w14:solidFill>
          </w14:textFill>
        </w:rPr>
      </w:pPr>
      <w:r>
        <w:rPr>
          <w:rFonts w:hint="eastAsia" w:ascii="时尚中黑简体" w:hAnsi="时尚中黑简体" w:eastAsia="时尚中黑简体"/>
          <w:bCs/>
          <w:color w:val="000000" w:themeColor="text1"/>
          <w:lang w:eastAsia="zh-CN"/>
          <w14:textFill>
            <w14:solidFill>
              <w14:schemeClr w14:val="tx1"/>
            </w14:solidFill>
          </w14:textFill>
        </w:rPr>
        <w:t>西安牧源</w:t>
      </w:r>
      <w:r>
        <w:rPr>
          <w:rFonts w:hint="eastAsia" w:ascii="时尚中黑简体" w:hAnsi="时尚中黑简体" w:eastAsia="时尚中黑简体"/>
          <w:bCs/>
          <w:color w:val="000000" w:themeColor="text1"/>
          <w14:textFill>
            <w14:solidFill>
              <w14:schemeClr w14:val="tx1"/>
            </w14:solidFill>
          </w14:textFill>
        </w:rPr>
        <w:t>饲料有限公司</w:t>
      </w:r>
    </w:p>
    <w:p>
      <w:pPr>
        <w:pStyle w:val="5"/>
        <w:jc w:val="center"/>
        <w:rPr>
          <w:rFonts w:ascii="宋体" w:hAnsi="宋体"/>
          <w:b/>
          <w:sz w:val="32"/>
          <w:szCs w:val="32"/>
        </w:rPr>
      </w:pPr>
      <w:r>
        <w:rPr>
          <w:rFonts w:hint="eastAsia" w:ascii="宋体" w:hAnsi="宋体"/>
          <w:b/>
          <w:sz w:val="32"/>
          <w:szCs w:val="32"/>
        </w:rPr>
        <w:t>安全生产事故隐患排查治理制度</w:t>
      </w:r>
    </w:p>
    <w:p>
      <w:pPr>
        <w:rPr>
          <w:b w:val="0"/>
          <w:sz w:val="24"/>
          <w:szCs w:val="24"/>
        </w:rPr>
      </w:pPr>
      <w:r>
        <w:rPr>
          <w:rFonts w:hint="eastAsia"/>
          <w:b w:val="0"/>
          <w:sz w:val="24"/>
          <w:szCs w:val="24"/>
        </w:rPr>
        <w:t>一、</w:t>
      </w:r>
      <w:r>
        <w:rPr>
          <w:b w:val="0"/>
          <w:sz w:val="24"/>
          <w:szCs w:val="24"/>
        </w:rPr>
        <w:t xml:space="preserve">为了建立公司安全生产事故隐患排查治理长效机制，加强事故隐患监督管理， 防止和减少事故的发生，保障员工生命财产安全，制定本制度。 </w:t>
      </w:r>
    </w:p>
    <w:p>
      <w:pPr>
        <w:rPr>
          <w:b w:val="0"/>
          <w:sz w:val="24"/>
          <w:szCs w:val="24"/>
        </w:rPr>
      </w:pPr>
      <w:r>
        <w:rPr>
          <w:b w:val="0"/>
          <w:sz w:val="24"/>
          <w:szCs w:val="24"/>
        </w:rPr>
        <w:t xml:space="preserve">二、职责 </w:t>
      </w:r>
    </w:p>
    <w:p>
      <w:pPr>
        <w:ind w:firstLine="480" w:firstLineChars="200"/>
        <w:rPr>
          <w:b w:val="0"/>
          <w:sz w:val="24"/>
          <w:szCs w:val="24"/>
        </w:rPr>
      </w:pPr>
      <w:r>
        <w:rPr>
          <w:b w:val="0"/>
          <w:sz w:val="24"/>
          <w:szCs w:val="24"/>
        </w:rPr>
        <w:t xml:space="preserve">1、公司主要负责人应对事故隐患排查和整改负全面的领导责任， </w:t>
      </w:r>
      <w:r>
        <w:rPr>
          <w:rFonts w:hint="eastAsia"/>
          <w:b w:val="0"/>
          <w:sz w:val="24"/>
          <w:szCs w:val="24"/>
        </w:rPr>
        <w:t xml:space="preserve">  </w:t>
      </w:r>
    </w:p>
    <w:p>
      <w:pPr>
        <w:ind w:firstLine="480" w:firstLineChars="200"/>
        <w:rPr>
          <w:rFonts w:ascii="Times New Roman" w:hAnsi="Times New Roman"/>
          <w:b w:val="0"/>
          <w:sz w:val="24"/>
          <w:szCs w:val="24"/>
        </w:rPr>
      </w:pPr>
      <w:r>
        <w:rPr>
          <w:b w:val="0"/>
          <w:sz w:val="24"/>
          <w:szCs w:val="24"/>
        </w:rPr>
        <w:t xml:space="preserve">2、公司安全生产管理人员（以下简称安全员）负责公司安全生产管理工作的组织及实施，班组长对所辖范围的事故隐患排查和整改工作负责，每个职工对本岗位的事故隐患排查和整改负责，任何部门和个人发现事故隐患，均有权向公司安全生产管理人员和公司领导报告。 </w:t>
      </w:r>
    </w:p>
    <w:p>
      <w:pPr>
        <w:ind w:firstLine="480" w:firstLineChars="200"/>
        <w:rPr>
          <w:b w:val="0"/>
          <w:sz w:val="24"/>
          <w:szCs w:val="24"/>
        </w:rPr>
      </w:pPr>
      <w:r>
        <w:rPr>
          <w:b w:val="0"/>
          <w:sz w:val="24"/>
          <w:szCs w:val="24"/>
        </w:rPr>
        <w:t>3、公司安全生产管理人员负责开展安全生产检查，发现事故隐患，督促有关</w:t>
      </w:r>
      <w:r>
        <w:rPr>
          <w:rFonts w:hint="eastAsia"/>
          <w:b w:val="0"/>
          <w:sz w:val="24"/>
          <w:szCs w:val="24"/>
        </w:rPr>
        <w:t>责任</w:t>
      </w:r>
      <w:r>
        <w:rPr>
          <w:b w:val="0"/>
          <w:sz w:val="24"/>
          <w:szCs w:val="24"/>
        </w:rPr>
        <w:t xml:space="preserve">部门和人员及时整改；查处违章指挥、违章操作、违反劳动纪律的行为；对查出的安全事故隐患进行登记，建立安全事故隐患信息档案。 </w:t>
      </w:r>
    </w:p>
    <w:p>
      <w:pPr>
        <w:ind w:firstLine="480" w:firstLineChars="200"/>
        <w:rPr>
          <w:b w:val="0"/>
          <w:sz w:val="24"/>
          <w:szCs w:val="24"/>
        </w:rPr>
      </w:pPr>
      <w:r>
        <w:rPr>
          <w:b w:val="0"/>
          <w:sz w:val="24"/>
          <w:szCs w:val="24"/>
        </w:rPr>
        <w:t xml:space="preserve">4、公司各职能部门按照职能分工对各自管辖范围内的安全事故隐患进行排查并监控治理。 </w:t>
      </w:r>
    </w:p>
    <w:p>
      <w:pPr>
        <w:ind w:firstLine="480" w:firstLineChars="200"/>
        <w:rPr>
          <w:b w:val="0"/>
          <w:sz w:val="24"/>
          <w:szCs w:val="24"/>
        </w:rPr>
      </w:pPr>
      <w:r>
        <w:rPr>
          <w:b w:val="0"/>
          <w:sz w:val="24"/>
          <w:szCs w:val="24"/>
        </w:rPr>
        <w:t xml:space="preserve">5、财务部门负责安全事故隐患报告奖励资金和事故隐患治理资金的落实。 </w:t>
      </w:r>
    </w:p>
    <w:p>
      <w:pPr>
        <w:ind w:firstLine="480" w:firstLineChars="200"/>
        <w:rPr>
          <w:b w:val="0"/>
          <w:sz w:val="24"/>
          <w:szCs w:val="24"/>
        </w:rPr>
      </w:pPr>
      <w:r>
        <w:rPr>
          <w:b w:val="0"/>
          <w:sz w:val="24"/>
          <w:szCs w:val="24"/>
        </w:rPr>
        <w:t>6、生</w:t>
      </w:r>
      <w:r>
        <w:rPr>
          <w:rFonts w:hint="eastAsia"/>
          <w:b w:val="0"/>
          <w:sz w:val="24"/>
          <w:szCs w:val="24"/>
        </w:rPr>
        <w:t>产</w:t>
      </w:r>
      <w:r>
        <w:rPr>
          <w:b w:val="0"/>
          <w:sz w:val="24"/>
          <w:szCs w:val="24"/>
        </w:rPr>
        <w:t>部对隐患整改措施的可行性和合理性负责。</w:t>
      </w:r>
    </w:p>
    <w:p>
      <w:pPr>
        <w:rPr>
          <w:b w:val="0"/>
          <w:sz w:val="24"/>
          <w:szCs w:val="24"/>
        </w:rPr>
      </w:pPr>
      <w:r>
        <w:rPr>
          <w:b w:val="0"/>
          <w:sz w:val="24"/>
          <w:szCs w:val="24"/>
        </w:rPr>
        <w:t xml:space="preserve">三、安全事故隐患 </w:t>
      </w:r>
    </w:p>
    <w:p>
      <w:pPr>
        <w:rPr>
          <w:b w:val="0"/>
          <w:sz w:val="24"/>
          <w:szCs w:val="24"/>
        </w:rPr>
      </w:pPr>
      <w:r>
        <w:rPr>
          <w:rFonts w:hint="eastAsia"/>
          <w:b w:val="0"/>
          <w:sz w:val="24"/>
          <w:szCs w:val="24"/>
        </w:rPr>
        <w:t xml:space="preserve">    </w:t>
      </w:r>
      <w:r>
        <w:rPr>
          <w:b w:val="0"/>
          <w:sz w:val="24"/>
          <w:szCs w:val="24"/>
        </w:rPr>
        <w:t>根据《安全生产事故隐患排查治理暂行规定》</w:t>
      </w:r>
      <w:r>
        <w:rPr>
          <w:rFonts w:hint="eastAsia"/>
          <w:b w:val="0"/>
          <w:sz w:val="24"/>
          <w:szCs w:val="24"/>
        </w:rPr>
        <w:t>、（</w:t>
      </w:r>
      <w:r>
        <w:rPr>
          <w:b w:val="0"/>
          <w:sz w:val="24"/>
          <w:szCs w:val="24"/>
        </w:rPr>
        <w:t xml:space="preserve">国家安监总局令第 16 号）的规定，结合我单位实际，以下情况列为安全生产事故隐患： </w:t>
      </w:r>
    </w:p>
    <w:p>
      <w:pPr>
        <w:rPr>
          <w:b w:val="0"/>
          <w:sz w:val="24"/>
          <w:szCs w:val="24"/>
        </w:rPr>
      </w:pPr>
      <w:r>
        <w:rPr>
          <w:rFonts w:hint="eastAsia"/>
          <w:b w:val="0"/>
          <w:sz w:val="24"/>
          <w:szCs w:val="24"/>
        </w:rPr>
        <w:t xml:space="preserve">   </w:t>
      </w:r>
      <w:r>
        <w:rPr>
          <w:b w:val="0"/>
          <w:sz w:val="24"/>
          <w:szCs w:val="24"/>
        </w:rPr>
        <w:t xml:space="preserve">1 </w:t>
      </w:r>
      <w:r>
        <w:rPr>
          <w:rFonts w:hint="eastAsia"/>
          <w:b w:val="0"/>
          <w:sz w:val="24"/>
          <w:szCs w:val="24"/>
        </w:rPr>
        <w:t>、</w:t>
      </w:r>
      <w:r>
        <w:rPr>
          <w:b w:val="0"/>
          <w:sz w:val="24"/>
          <w:szCs w:val="24"/>
        </w:rPr>
        <w:t>主要负责人、分管负责人、专职（兼职）安全管理人员未按规定参加教育 培训，或其安全资格证书无效的；</w:t>
      </w:r>
    </w:p>
    <w:p>
      <w:pPr>
        <w:rPr>
          <w:b w:val="0"/>
          <w:sz w:val="24"/>
          <w:szCs w:val="24"/>
        </w:rPr>
      </w:pPr>
      <w:r>
        <w:rPr>
          <w:rFonts w:hint="eastAsia"/>
          <w:b w:val="0"/>
          <w:sz w:val="24"/>
          <w:szCs w:val="24"/>
        </w:rPr>
        <w:t xml:space="preserve">   2.</w:t>
      </w:r>
      <w:r>
        <w:rPr>
          <w:b w:val="0"/>
          <w:sz w:val="24"/>
          <w:szCs w:val="24"/>
        </w:rPr>
        <w:t xml:space="preserve">新职工入厂未进行三级安全教育的。 </w:t>
      </w:r>
    </w:p>
    <w:p>
      <w:pPr>
        <w:rPr>
          <w:b w:val="0"/>
          <w:sz w:val="24"/>
          <w:szCs w:val="24"/>
        </w:rPr>
      </w:pPr>
      <w:r>
        <w:rPr>
          <w:rFonts w:hint="eastAsia"/>
          <w:b w:val="0"/>
          <w:sz w:val="24"/>
          <w:szCs w:val="24"/>
        </w:rPr>
        <w:t xml:space="preserve">   3.</w:t>
      </w:r>
      <w:r>
        <w:rPr>
          <w:b w:val="0"/>
          <w:sz w:val="24"/>
          <w:szCs w:val="24"/>
        </w:rPr>
        <w:t>叉车等特种设备未取得合格证、使用证和检验检测过期的。</w:t>
      </w:r>
    </w:p>
    <w:p>
      <w:pPr>
        <w:rPr>
          <w:b w:val="0"/>
          <w:sz w:val="24"/>
          <w:szCs w:val="24"/>
        </w:rPr>
      </w:pPr>
      <w:r>
        <w:rPr>
          <w:rFonts w:hint="eastAsia"/>
          <w:b w:val="0"/>
          <w:sz w:val="24"/>
          <w:szCs w:val="24"/>
        </w:rPr>
        <w:t xml:space="preserve">   4.</w:t>
      </w:r>
      <w:r>
        <w:rPr>
          <w:b w:val="0"/>
          <w:sz w:val="24"/>
          <w:szCs w:val="24"/>
        </w:rPr>
        <w:t xml:space="preserve"> 操作人员不熟悉本岗位的安全操作规程或未按照操作规程要求作业的；</w:t>
      </w:r>
    </w:p>
    <w:p>
      <w:pPr>
        <w:rPr>
          <w:b w:val="0"/>
          <w:sz w:val="24"/>
          <w:szCs w:val="24"/>
        </w:rPr>
      </w:pPr>
      <w:r>
        <w:rPr>
          <w:rFonts w:hint="eastAsia"/>
          <w:b w:val="0"/>
          <w:sz w:val="24"/>
          <w:szCs w:val="24"/>
        </w:rPr>
        <w:t xml:space="preserve">   5.</w:t>
      </w:r>
      <w:r>
        <w:rPr>
          <w:b w:val="0"/>
          <w:sz w:val="24"/>
          <w:szCs w:val="24"/>
        </w:rPr>
        <w:t>作业人员未按要求正确穿戴安全防护用品的；</w:t>
      </w:r>
    </w:p>
    <w:p>
      <w:pPr>
        <w:rPr>
          <w:b w:val="0"/>
          <w:sz w:val="24"/>
          <w:szCs w:val="24"/>
        </w:rPr>
      </w:pPr>
      <w:r>
        <w:rPr>
          <w:rFonts w:hint="eastAsia"/>
          <w:b w:val="0"/>
          <w:sz w:val="24"/>
          <w:szCs w:val="24"/>
        </w:rPr>
        <w:t xml:space="preserve">   6.</w:t>
      </w:r>
      <w:r>
        <w:rPr>
          <w:b w:val="0"/>
          <w:sz w:val="24"/>
          <w:szCs w:val="24"/>
        </w:rPr>
        <w:t xml:space="preserve">特种设备作业人员未按要求持证上岗的。 </w:t>
      </w:r>
    </w:p>
    <w:p>
      <w:pPr>
        <w:rPr>
          <w:b w:val="0"/>
          <w:sz w:val="24"/>
          <w:szCs w:val="24"/>
        </w:rPr>
      </w:pPr>
      <w:r>
        <w:rPr>
          <w:rFonts w:hint="eastAsia"/>
          <w:b w:val="0"/>
          <w:sz w:val="24"/>
          <w:szCs w:val="24"/>
        </w:rPr>
        <w:t xml:space="preserve">   7.</w:t>
      </w:r>
      <w:r>
        <w:rPr>
          <w:b w:val="0"/>
          <w:sz w:val="24"/>
          <w:szCs w:val="24"/>
        </w:rPr>
        <w:t xml:space="preserve">电焊机等焊接设备不符合以下安全要求的： </w:t>
      </w:r>
    </w:p>
    <w:p>
      <w:pPr>
        <w:rPr>
          <w:b w:val="0"/>
          <w:sz w:val="24"/>
          <w:szCs w:val="24"/>
        </w:rPr>
      </w:pPr>
      <w:r>
        <w:rPr>
          <w:rFonts w:hint="eastAsia"/>
          <w:b w:val="0"/>
          <w:sz w:val="24"/>
          <w:szCs w:val="24"/>
        </w:rPr>
        <w:t xml:space="preserve"> </w:t>
      </w:r>
      <w:r>
        <w:rPr>
          <w:b w:val="0"/>
          <w:sz w:val="24"/>
          <w:szCs w:val="24"/>
        </w:rPr>
        <w:t>（1）电源线、焊接电缆与焊机连接处有可靠屏护。</w:t>
      </w:r>
    </w:p>
    <w:p>
      <w:pPr>
        <w:rPr>
          <w:b w:val="0"/>
          <w:sz w:val="24"/>
          <w:szCs w:val="24"/>
        </w:rPr>
      </w:pPr>
      <w:r>
        <w:rPr>
          <w:b w:val="0"/>
          <w:sz w:val="24"/>
          <w:szCs w:val="24"/>
        </w:rPr>
        <w:t xml:space="preserve"> （2）焊机外壳 PE 线接线正确，连接可靠。</w:t>
      </w:r>
    </w:p>
    <w:p>
      <w:pPr>
        <w:rPr>
          <w:b w:val="0"/>
          <w:sz w:val="24"/>
          <w:szCs w:val="24"/>
        </w:rPr>
      </w:pPr>
      <w:r>
        <w:rPr>
          <w:b w:val="0"/>
          <w:sz w:val="24"/>
          <w:szCs w:val="24"/>
        </w:rPr>
        <w:t xml:space="preserve"> （3） 焊机一次侧电源线长度不超过 3 米，且不得拖地或跨越通道使用。 </w:t>
      </w:r>
    </w:p>
    <w:p>
      <w:pPr>
        <w:widowControl w:val="0"/>
        <w:numPr>
          <w:ilvl w:val="0"/>
          <w:numId w:val="1"/>
        </w:numPr>
        <w:jc w:val="both"/>
        <w:rPr>
          <w:b w:val="0"/>
          <w:sz w:val="24"/>
          <w:szCs w:val="24"/>
        </w:rPr>
      </w:pPr>
      <w:r>
        <w:rPr>
          <w:b w:val="0"/>
          <w:sz w:val="24"/>
          <w:szCs w:val="24"/>
        </w:rPr>
        <w:t xml:space="preserve">焊机二次线连接良好，接头不超过 3 个。 </w:t>
      </w:r>
    </w:p>
    <w:p>
      <w:pPr>
        <w:widowControl w:val="0"/>
        <w:numPr>
          <w:ilvl w:val="0"/>
          <w:numId w:val="1"/>
        </w:numPr>
        <w:jc w:val="both"/>
        <w:rPr>
          <w:b w:val="0"/>
          <w:sz w:val="24"/>
          <w:szCs w:val="24"/>
        </w:rPr>
      </w:pPr>
      <w:r>
        <w:rPr>
          <w:b w:val="0"/>
          <w:sz w:val="24"/>
          <w:szCs w:val="24"/>
        </w:rPr>
        <w:t xml:space="preserve">焊钳夹紧力好，绝缘可靠，隔热层完好。 </w:t>
      </w:r>
    </w:p>
    <w:p>
      <w:pPr>
        <w:widowControl w:val="0"/>
        <w:numPr>
          <w:ilvl w:val="0"/>
          <w:numId w:val="1"/>
        </w:numPr>
        <w:jc w:val="both"/>
        <w:rPr>
          <w:b w:val="0"/>
          <w:sz w:val="24"/>
          <w:szCs w:val="24"/>
        </w:rPr>
      </w:pPr>
      <w:r>
        <w:rPr>
          <w:b w:val="0"/>
          <w:sz w:val="24"/>
          <w:szCs w:val="24"/>
        </w:rPr>
        <w:t xml:space="preserve">焊机使用场所清洁，无严重粉尘，周围无易燃易爆物。 </w:t>
      </w:r>
    </w:p>
    <w:p>
      <w:pPr>
        <w:rPr>
          <w:b w:val="0"/>
          <w:sz w:val="24"/>
          <w:szCs w:val="24"/>
        </w:rPr>
      </w:pPr>
      <w:r>
        <w:rPr>
          <w:rFonts w:hint="eastAsia"/>
          <w:b w:val="0"/>
          <w:sz w:val="24"/>
          <w:szCs w:val="24"/>
        </w:rPr>
        <w:t xml:space="preserve">  8.</w:t>
      </w:r>
      <w:r>
        <w:rPr>
          <w:b w:val="0"/>
          <w:sz w:val="24"/>
          <w:szCs w:val="24"/>
        </w:rPr>
        <w:t xml:space="preserve"> 厂内机动车辆不符合以下安全要求的： </w:t>
      </w:r>
    </w:p>
    <w:p>
      <w:pPr>
        <w:widowControl w:val="0"/>
        <w:numPr>
          <w:ilvl w:val="0"/>
          <w:numId w:val="2"/>
        </w:numPr>
        <w:jc w:val="both"/>
        <w:rPr>
          <w:b w:val="0"/>
          <w:sz w:val="24"/>
          <w:szCs w:val="24"/>
        </w:rPr>
      </w:pPr>
      <w:r>
        <w:rPr>
          <w:b w:val="0"/>
          <w:sz w:val="24"/>
          <w:szCs w:val="24"/>
        </w:rPr>
        <w:t xml:space="preserve">厂内机动车辆应具有国家统一制定的牌照，定期检测合格，在检测周 期内使用。 </w:t>
      </w:r>
    </w:p>
    <w:p>
      <w:pPr>
        <w:widowControl w:val="0"/>
        <w:numPr>
          <w:ilvl w:val="0"/>
          <w:numId w:val="2"/>
        </w:numPr>
        <w:jc w:val="both"/>
        <w:rPr>
          <w:b w:val="0"/>
          <w:sz w:val="24"/>
          <w:szCs w:val="24"/>
        </w:rPr>
      </w:pPr>
      <w:r>
        <w:rPr>
          <w:b w:val="0"/>
          <w:sz w:val="24"/>
          <w:szCs w:val="24"/>
        </w:rPr>
        <w:t xml:space="preserve">动力系统运转平稳，线路、管路无漏电、漏水、漏油。 </w:t>
      </w:r>
    </w:p>
    <w:p>
      <w:pPr>
        <w:widowControl w:val="0"/>
        <w:numPr>
          <w:ilvl w:val="0"/>
          <w:numId w:val="2"/>
        </w:numPr>
        <w:jc w:val="both"/>
        <w:rPr>
          <w:b w:val="0"/>
          <w:sz w:val="24"/>
          <w:szCs w:val="24"/>
        </w:rPr>
      </w:pPr>
      <w:r>
        <w:rPr>
          <w:b w:val="0"/>
          <w:sz w:val="24"/>
          <w:szCs w:val="24"/>
        </w:rPr>
        <w:t xml:space="preserve">灯光电气部分完好，仪表、照明、信号及各附属安全装置性能良好。 </w:t>
      </w:r>
    </w:p>
    <w:p>
      <w:pPr>
        <w:widowControl w:val="0"/>
        <w:numPr>
          <w:ilvl w:val="0"/>
          <w:numId w:val="2"/>
        </w:numPr>
        <w:jc w:val="both"/>
        <w:rPr>
          <w:b w:val="0"/>
          <w:sz w:val="24"/>
          <w:szCs w:val="24"/>
        </w:rPr>
      </w:pPr>
      <w:r>
        <w:rPr>
          <w:b w:val="0"/>
          <w:sz w:val="24"/>
          <w:szCs w:val="24"/>
        </w:rPr>
        <w:t xml:space="preserve">传动系统运转平稳。 </w:t>
      </w:r>
    </w:p>
    <w:p>
      <w:pPr>
        <w:widowControl w:val="0"/>
        <w:numPr>
          <w:ilvl w:val="0"/>
          <w:numId w:val="2"/>
        </w:numPr>
        <w:jc w:val="both"/>
        <w:rPr>
          <w:b w:val="0"/>
          <w:sz w:val="24"/>
          <w:szCs w:val="24"/>
        </w:rPr>
      </w:pPr>
      <w:r>
        <w:rPr>
          <w:b w:val="0"/>
          <w:sz w:val="24"/>
          <w:szCs w:val="24"/>
        </w:rPr>
        <w:t xml:space="preserve">行驶系统连接紧固，轮胎无损伤。 </w:t>
      </w:r>
    </w:p>
    <w:p>
      <w:pPr>
        <w:widowControl w:val="0"/>
        <w:numPr>
          <w:ilvl w:val="0"/>
          <w:numId w:val="2"/>
        </w:numPr>
        <w:jc w:val="both"/>
        <w:rPr>
          <w:b w:val="0"/>
          <w:sz w:val="24"/>
          <w:szCs w:val="24"/>
        </w:rPr>
      </w:pPr>
      <w:r>
        <w:rPr>
          <w:b w:val="0"/>
          <w:sz w:val="24"/>
          <w:szCs w:val="24"/>
        </w:rPr>
        <w:t xml:space="preserve">转向系统轻便灵活。 </w:t>
      </w:r>
    </w:p>
    <w:p>
      <w:pPr>
        <w:widowControl w:val="0"/>
        <w:numPr>
          <w:ilvl w:val="0"/>
          <w:numId w:val="2"/>
        </w:numPr>
        <w:jc w:val="both"/>
        <w:rPr>
          <w:rFonts w:ascii="Times New Roman" w:hAnsi="Times New Roman"/>
          <w:b w:val="0"/>
          <w:sz w:val="24"/>
          <w:szCs w:val="24"/>
        </w:rPr>
      </w:pPr>
      <w:r>
        <w:rPr>
          <w:b w:val="0"/>
          <w:sz w:val="24"/>
          <w:szCs w:val="24"/>
        </w:rPr>
        <w:t xml:space="preserve">制动系统安全有效，制动距离符合要求。 </w:t>
      </w:r>
      <w:r>
        <w:rPr>
          <w:rFonts w:hint="eastAsia"/>
          <w:b w:val="0"/>
          <w:sz w:val="24"/>
          <w:szCs w:val="24"/>
        </w:rPr>
        <w:t xml:space="preserve">  </w:t>
      </w:r>
    </w:p>
    <w:p>
      <w:pPr>
        <w:rPr>
          <w:b w:val="0"/>
          <w:sz w:val="24"/>
          <w:szCs w:val="24"/>
        </w:rPr>
      </w:pPr>
      <w:r>
        <w:rPr>
          <w:rFonts w:hint="eastAsia"/>
          <w:b w:val="0"/>
          <w:sz w:val="24"/>
          <w:szCs w:val="24"/>
        </w:rPr>
        <w:t xml:space="preserve"> 9.</w:t>
      </w:r>
      <w:r>
        <w:rPr>
          <w:b w:val="0"/>
          <w:sz w:val="24"/>
          <w:szCs w:val="24"/>
        </w:rPr>
        <w:t xml:space="preserve">车间作业环境不符合以下安全要求的： </w:t>
      </w:r>
    </w:p>
    <w:p>
      <w:pPr>
        <w:widowControl w:val="0"/>
        <w:numPr>
          <w:ilvl w:val="0"/>
          <w:numId w:val="3"/>
        </w:numPr>
        <w:jc w:val="both"/>
        <w:rPr>
          <w:b w:val="0"/>
          <w:sz w:val="24"/>
          <w:szCs w:val="24"/>
        </w:rPr>
      </w:pPr>
      <w:r>
        <w:rPr>
          <w:rFonts w:hint="eastAsia"/>
          <w:b w:val="0"/>
          <w:sz w:val="24"/>
          <w:szCs w:val="24"/>
        </w:rPr>
        <w:t>不按操作步骤进行违规操作的。</w:t>
      </w:r>
    </w:p>
    <w:p>
      <w:pPr>
        <w:widowControl w:val="0"/>
        <w:numPr>
          <w:ilvl w:val="0"/>
          <w:numId w:val="3"/>
        </w:numPr>
        <w:jc w:val="both"/>
        <w:rPr>
          <w:b w:val="0"/>
          <w:sz w:val="24"/>
          <w:szCs w:val="24"/>
        </w:rPr>
      </w:pPr>
      <w:r>
        <w:rPr>
          <w:b w:val="0"/>
          <w:sz w:val="24"/>
          <w:szCs w:val="24"/>
        </w:rPr>
        <w:t xml:space="preserve">危险部位应设置安全标志。 </w:t>
      </w:r>
    </w:p>
    <w:p>
      <w:pPr>
        <w:widowControl w:val="0"/>
        <w:numPr>
          <w:ilvl w:val="0"/>
          <w:numId w:val="3"/>
        </w:numPr>
        <w:jc w:val="both"/>
        <w:rPr>
          <w:b w:val="0"/>
          <w:sz w:val="24"/>
          <w:szCs w:val="24"/>
        </w:rPr>
      </w:pPr>
      <w:r>
        <w:rPr>
          <w:b w:val="0"/>
          <w:sz w:val="24"/>
          <w:szCs w:val="24"/>
        </w:rPr>
        <w:t>作业区域地面平整，无积水、积油、垃圾杂物、无障碍物和绊脚物； 坑、壕、池应设置盖板或护栏；脚踏板应完好、牢固且防滑。 （3）生产作业点、工作台面和安全通道普通采光照度符合标准，照明灯具完好。</w:t>
      </w:r>
    </w:p>
    <w:p>
      <w:pPr>
        <w:rPr>
          <w:b w:val="0"/>
          <w:sz w:val="24"/>
          <w:szCs w:val="24"/>
        </w:rPr>
      </w:pPr>
      <w:r>
        <w:rPr>
          <w:rFonts w:hint="eastAsia"/>
          <w:b w:val="0"/>
          <w:sz w:val="24"/>
          <w:szCs w:val="24"/>
        </w:rPr>
        <w:t>（4）</w:t>
      </w:r>
      <w:r>
        <w:rPr>
          <w:b w:val="0"/>
          <w:sz w:val="24"/>
          <w:szCs w:val="24"/>
        </w:rPr>
        <w:t>设备设施与墙、柱间以及设备设施之间应留有足够的距离；各种操作部位、观察部位应符合人机工程的距离要求。</w:t>
      </w:r>
    </w:p>
    <w:p>
      <w:pPr>
        <w:rPr>
          <w:b w:val="0"/>
          <w:sz w:val="24"/>
          <w:szCs w:val="24"/>
        </w:rPr>
      </w:pPr>
      <w:r>
        <w:rPr>
          <w:b w:val="0"/>
          <w:sz w:val="24"/>
          <w:szCs w:val="24"/>
        </w:rPr>
        <w:t xml:space="preserve"> 1</w:t>
      </w:r>
      <w:r>
        <w:rPr>
          <w:rFonts w:hint="eastAsia"/>
          <w:b w:val="0"/>
          <w:sz w:val="24"/>
          <w:szCs w:val="24"/>
        </w:rPr>
        <w:t>0.</w:t>
      </w:r>
      <w:r>
        <w:rPr>
          <w:b w:val="0"/>
          <w:sz w:val="24"/>
          <w:szCs w:val="24"/>
        </w:rPr>
        <w:t>消防设施标识及防火安全标志准确、齐全，且灵敏可靠，消防通道畅通。</w:t>
      </w:r>
    </w:p>
    <w:p>
      <w:pPr>
        <w:rPr>
          <w:b w:val="0"/>
          <w:sz w:val="24"/>
          <w:szCs w:val="24"/>
        </w:rPr>
      </w:pPr>
      <w:r>
        <w:rPr>
          <w:b w:val="0"/>
          <w:sz w:val="24"/>
          <w:szCs w:val="24"/>
        </w:rPr>
        <w:t xml:space="preserve"> 四、隐患的排查与报告 </w:t>
      </w:r>
    </w:p>
    <w:p>
      <w:pPr>
        <w:rPr>
          <w:b w:val="0"/>
          <w:sz w:val="24"/>
          <w:szCs w:val="24"/>
        </w:rPr>
      </w:pPr>
      <w:r>
        <w:rPr>
          <w:rFonts w:hint="eastAsia"/>
          <w:b w:val="0"/>
          <w:sz w:val="24"/>
          <w:szCs w:val="24"/>
        </w:rPr>
        <w:t xml:space="preserve">   </w:t>
      </w:r>
      <w:r>
        <w:rPr>
          <w:b w:val="0"/>
          <w:sz w:val="24"/>
          <w:szCs w:val="24"/>
        </w:rPr>
        <w:t>1、按照“谁主管，谁负责”的原则，各车间 、班组应对各自管辖区域内按照公司《安全生产检查制度》中规定时间、内容和频次对隐患进行排查，及时收集、查找并上报发现的事故隐患，积极采取措施对隐患进行整改。</w:t>
      </w:r>
    </w:p>
    <w:p>
      <w:pPr>
        <w:rPr>
          <w:b w:val="0"/>
          <w:sz w:val="24"/>
          <w:szCs w:val="24"/>
        </w:rPr>
      </w:pPr>
      <w:r>
        <w:rPr>
          <w:b w:val="0"/>
          <w:sz w:val="24"/>
          <w:szCs w:val="24"/>
        </w:rPr>
        <w:t xml:space="preserve"> 2、发现隐患一般采用逐级报告的方法，即员工报各车间领导或安全员。特殊情况或一般情况下能即时排除的安全生产隐患可采用口头报告的形式报告。重大安全生产隐患要采取书面报告的形式，报告人要把隐患地点﹑事故隐 患内容﹑拟采取措施建议﹑报告人姓名﹑报告接受人姓名、报告时间等写清楚， 一式二份，一份交公司安全员，一份</w:t>
      </w:r>
      <w:r>
        <w:rPr>
          <w:rFonts w:hint="eastAsia"/>
          <w:b w:val="0"/>
          <w:sz w:val="24"/>
          <w:szCs w:val="24"/>
        </w:rPr>
        <w:t>车间</w:t>
      </w:r>
      <w:r>
        <w:rPr>
          <w:b w:val="0"/>
          <w:sz w:val="24"/>
          <w:szCs w:val="24"/>
        </w:rPr>
        <w:t>自己留底备查。</w:t>
      </w:r>
    </w:p>
    <w:p>
      <w:pPr>
        <w:rPr>
          <w:b w:val="0"/>
          <w:sz w:val="24"/>
          <w:szCs w:val="24"/>
        </w:rPr>
      </w:pPr>
      <w:r>
        <w:rPr>
          <w:b w:val="0"/>
          <w:sz w:val="24"/>
          <w:szCs w:val="24"/>
        </w:rPr>
        <w:t xml:space="preserve"> 五、隐患的整改及验收</w:t>
      </w:r>
    </w:p>
    <w:p>
      <w:pPr>
        <w:ind w:firstLine="480" w:firstLineChars="200"/>
        <w:rPr>
          <w:b w:val="0"/>
          <w:sz w:val="24"/>
          <w:szCs w:val="24"/>
        </w:rPr>
      </w:pPr>
      <w:r>
        <w:rPr>
          <w:b w:val="0"/>
          <w:sz w:val="24"/>
          <w:szCs w:val="24"/>
        </w:rPr>
        <w:t xml:space="preserve">1、各车间 、班组发现或接到员工事故隐患报告后，应立即组织本单位专业人员对隐患进行核实，各部门自己能够解决的隐患应立即整改；需其他部门协助解决的，能自己联系解决的自己联系解决，不能自己联系解决的，应立即报公司安全员，安全员根据隐患的种类移交给相关职能部门，由各职能部门负责进行整改并且对隐患的整改进行全程跟踪监控。 </w:t>
      </w:r>
    </w:p>
    <w:p>
      <w:pPr>
        <w:ind w:firstLine="480" w:firstLineChars="200"/>
        <w:rPr>
          <w:b w:val="0"/>
          <w:sz w:val="24"/>
          <w:szCs w:val="24"/>
        </w:rPr>
      </w:pPr>
      <w:r>
        <w:rPr>
          <w:b w:val="0"/>
          <w:sz w:val="24"/>
          <w:szCs w:val="24"/>
        </w:rPr>
        <w:t xml:space="preserve">2、对于重大事故隐患，由安全员提交公司，由公司主要负责人组织制定并实施事故隐患治理方案。在事故隐患治理过程中，事故隐患部门应当采取相应的安全防范措施，防止事故发生。 </w:t>
      </w:r>
    </w:p>
    <w:p>
      <w:pPr>
        <w:rPr>
          <w:b w:val="0"/>
          <w:sz w:val="24"/>
          <w:szCs w:val="24"/>
        </w:rPr>
      </w:pPr>
      <w:r>
        <w:rPr>
          <w:b w:val="0"/>
          <w:sz w:val="24"/>
          <w:szCs w:val="24"/>
        </w:rPr>
        <w:t xml:space="preserve">六、奖惩 </w:t>
      </w:r>
    </w:p>
    <w:p>
      <w:pPr>
        <w:ind w:firstLine="480" w:firstLineChars="200"/>
        <w:rPr>
          <w:b w:val="0"/>
          <w:sz w:val="24"/>
          <w:szCs w:val="24"/>
        </w:rPr>
      </w:pPr>
      <w:r>
        <w:rPr>
          <w:b w:val="0"/>
          <w:sz w:val="24"/>
          <w:szCs w:val="24"/>
        </w:rPr>
        <w:t>1、根据隐患的大小及其危害程度，对隐患发现者进行</w:t>
      </w:r>
      <w:r>
        <w:rPr>
          <w:rFonts w:hint="eastAsia"/>
          <w:b w:val="0"/>
          <w:sz w:val="24"/>
          <w:szCs w:val="24"/>
        </w:rPr>
        <w:t>5</w:t>
      </w:r>
      <w:r>
        <w:rPr>
          <w:b w:val="0"/>
          <w:sz w:val="24"/>
          <w:szCs w:val="24"/>
        </w:rPr>
        <w:t>00 元的奖励，奖励采用</w:t>
      </w:r>
      <w:r>
        <w:rPr>
          <w:rFonts w:hint="eastAsia"/>
          <w:b w:val="0"/>
          <w:sz w:val="24"/>
          <w:szCs w:val="24"/>
        </w:rPr>
        <w:t>汇款方式</w:t>
      </w:r>
      <w:r>
        <w:rPr>
          <w:b w:val="0"/>
          <w:sz w:val="24"/>
          <w:szCs w:val="24"/>
        </w:rPr>
        <w:t xml:space="preserve">，由安全员申报，总经理批准后实施。 </w:t>
      </w:r>
    </w:p>
    <w:p>
      <w:pPr>
        <w:ind w:firstLine="480" w:firstLineChars="200"/>
        <w:rPr>
          <w:b w:val="0"/>
          <w:sz w:val="24"/>
          <w:szCs w:val="24"/>
        </w:rPr>
      </w:pPr>
      <w:r>
        <w:rPr>
          <w:b w:val="0"/>
          <w:sz w:val="24"/>
          <w:szCs w:val="24"/>
        </w:rPr>
        <w:t xml:space="preserve">2、各部门对员工上报的事故隐患，不整改或不上报的，一旦发现按情节严重程度对部门和相关责任人罚款 200－500 元。 </w:t>
      </w:r>
    </w:p>
    <w:p>
      <w:pPr>
        <w:ind w:firstLine="480" w:firstLineChars="200"/>
        <w:rPr>
          <w:b w:val="0"/>
          <w:sz w:val="24"/>
          <w:szCs w:val="24"/>
        </w:rPr>
      </w:pPr>
      <w:r>
        <w:rPr>
          <w:b w:val="0"/>
          <w:sz w:val="24"/>
          <w:szCs w:val="24"/>
        </w:rPr>
        <w:t xml:space="preserve">3、发现了事故隐患因未及时整改，报告人也没继续上报而导致事故的发生，将对发生事故的部门和相关责任人从重处理，报告人不承担责任。 </w:t>
      </w:r>
    </w:p>
    <w:p>
      <w:pPr>
        <w:ind w:firstLine="480" w:firstLineChars="200"/>
        <w:rPr>
          <w:b w:val="0"/>
          <w:sz w:val="24"/>
          <w:szCs w:val="24"/>
        </w:rPr>
      </w:pPr>
      <w:r>
        <w:rPr>
          <w:b w:val="0"/>
          <w:sz w:val="24"/>
          <w:szCs w:val="24"/>
        </w:rPr>
        <w:t>4、对报告人特别是越级上报的人员，进行打击报复的或有此嫌疑的，一经查实 报总经理处理。</w:t>
      </w:r>
    </w:p>
    <w:p>
      <w:pPr>
        <w:ind w:firstLine="480" w:firstLineChars="200"/>
        <w:rPr>
          <w:b w:val="0"/>
          <w:sz w:val="24"/>
          <w:szCs w:val="24"/>
        </w:rPr>
      </w:pPr>
      <w:r>
        <w:rPr>
          <w:b w:val="0"/>
          <w:sz w:val="24"/>
          <w:szCs w:val="24"/>
        </w:rPr>
        <w:t xml:space="preserve"> </w:t>
      </w:r>
    </w:p>
    <w:p>
      <w:pPr>
        <w:ind w:firstLine="480" w:firstLineChars="200"/>
        <w:rPr>
          <w:b w:val="0"/>
          <w:sz w:val="24"/>
          <w:szCs w:val="24"/>
        </w:rPr>
      </w:pPr>
    </w:p>
    <w:p>
      <w:pPr>
        <w:ind w:firstLine="480" w:firstLineChars="200"/>
        <w:rPr>
          <w:b w:val="0"/>
          <w:sz w:val="24"/>
          <w:szCs w:val="24"/>
        </w:rPr>
      </w:pPr>
    </w:p>
    <w:p>
      <w:pPr>
        <w:ind w:firstLine="480" w:firstLineChars="200"/>
        <w:rPr>
          <w:b w:val="0"/>
          <w:sz w:val="24"/>
          <w:szCs w:val="24"/>
        </w:rPr>
      </w:pPr>
    </w:p>
    <w:p>
      <w:pPr>
        <w:ind w:firstLine="480" w:firstLineChars="200"/>
        <w:rPr>
          <w:b w:val="0"/>
          <w:sz w:val="24"/>
          <w:szCs w:val="24"/>
        </w:rPr>
      </w:pPr>
    </w:p>
    <w:p>
      <w:pPr>
        <w:ind w:firstLine="480" w:firstLineChars="200"/>
        <w:rPr>
          <w:b w:val="0"/>
          <w:sz w:val="24"/>
          <w:szCs w:val="24"/>
        </w:rPr>
      </w:pPr>
    </w:p>
    <w:p>
      <w:pPr>
        <w:ind w:firstLine="480" w:firstLineChars="200"/>
        <w:rPr>
          <w:b w:val="0"/>
          <w:sz w:val="24"/>
          <w:szCs w:val="24"/>
        </w:rPr>
      </w:pPr>
    </w:p>
    <w:p>
      <w:pPr>
        <w:pStyle w:val="5"/>
        <w:jc w:val="center"/>
        <w:rPr>
          <w:rFonts w:ascii="时尚中黑简体" w:hAnsi="时尚中黑简体" w:eastAsia="时尚中黑简体"/>
          <w:bCs/>
          <w:color w:val="000000" w:themeColor="text1"/>
          <w14:textFill>
            <w14:solidFill>
              <w14:schemeClr w14:val="tx1"/>
            </w14:solidFill>
          </w14:textFill>
        </w:rPr>
      </w:pPr>
      <w:r>
        <w:rPr>
          <w:rFonts w:hint="eastAsia" w:ascii="时尚中黑简体" w:hAnsi="时尚中黑简体" w:eastAsia="时尚中黑简体"/>
          <w:bCs/>
          <w:color w:val="000000" w:themeColor="text1"/>
          <w:lang w:eastAsia="zh-CN"/>
          <w14:textFill>
            <w14:solidFill>
              <w14:schemeClr w14:val="tx1"/>
            </w14:solidFill>
          </w14:textFill>
        </w:rPr>
        <w:t>西安牧源</w:t>
      </w:r>
      <w:r>
        <w:rPr>
          <w:rFonts w:hint="eastAsia" w:ascii="时尚中黑简体" w:hAnsi="时尚中黑简体" w:eastAsia="时尚中黑简体"/>
          <w:bCs/>
          <w:color w:val="000000" w:themeColor="text1"/>
          <w14:textFill>
            <w14:solidFill>
              <w14:schemeClr w14:val="tx1"/>
            </w14:solidFill>
          </w14:textFill>
        </w:rPr>
        <w:t>饲料有限公司</w:t>
      </w:r>
    </w:p>
    <w:p>
      <w:pPr>
        <w:jc w:val="center"/>
        <w:rPr>
          <w:b w:val="0"/>
          <w:sz w:val="24"/>
          <w:szCs w:val="24"/>
        </w:rPr>
      </w:pPr>
      <w:r>
        <w:rPr>
          <w:rFonts w:hint="eastAsia"/>
          <w:b w:val="0"/>
          <w:sz w:val="32"/>
          <w:szCs w:val="32"/>
        </w:rPr>
        <w:t>安全生产事故隐患治理方案</w:t>
      </w:r>
    </w:p>
    <w:p>
      <w:pPr>
        <w:wordWrap w:val="0"/>
        <w:spacing w:line="380" w:lineRule="exact"/>
        <w:ind w:firstLine="480" w:firstLineChars="200"/>
        <w:rPr>
          <w:rFonts w:ascii="MingLiU" w:hAnsi="MingLiU" w:eastAsia="MingLiU" w:cs="Tahoma"/>
          <w:b w:val="0"/>
          <w:color w:val="333333"/>
          <w:kern w:val="0"/>
          <w:sz w:val="24"/>
          <w:szCs w:val="24"/>
        </w:rPr>
      </w:pPr>
      <w:r>
        <w:rPr>
          <w:rFonts w:hint="eastAsia" w:cs="PMingLiU"/>
          <w:b w:val="0"/>
          <w:color w:val="333333"/>
          <w:kern w:val="0"/>
          <w:sz w:val="24"/>
          <w:szCs w:val="24"/>
        </w:rPr>
        <w:t>为了建立安全生产事故隐患排查治理长效机制，推进公司安全隐患派查治理工作，彻底消除事故隐患，有效防止和减少</w:t>
      </w:r>
      <w:r>
        <w:rPr>
          <w:rFonts w:hint="eastAsia" w:cs="Tahoma"/>
          <w:b w:val="0"/>
          <w:color w:val="333333"/>
          <w:kern w:val="0"/>
          <w:sz w:val="24"/>
          <w:szCs w:val="24"/>
        </w:rPr>
        <w:t>各类事故的发生，特制定本方案。</w:t>
      </w:r>
    </w:p>
    <w:p>
      <w:pPr>
        <w:wordWrap w:val="0"/>
        <w:spacing w:line="380" w:lineRule="exact"/>
        <w:ind w:firstLine="480" w:firstLineChars="200"/>
        <w:rPr>
          <w:rFonts w:ascii="MingLiU" w:hAnsi="MingLiU" w:eastAsia="MingLiU" w:cs="Tahoma"/>
          <w:b w:val="0"/>
          <w:color w:val="333333"/>
          <w:kern w:val="0"/>
          <w:sz w:val="24"/>
          <w:szCs w:val="24"/>
        </w:rPr>
      </w:pPr>
      <w:r>
        <w:rPr>
          <w:rFonts w:hint="eastAsia" w:cs="Tahoma"/>
          <w:b w:val="0"/>
          <w:color w:val="333333"/>
          <w:kern w:val="0"/>
          <w:sz w:val="24"/>
          <w:szCs w:val="24"/>
        </w:rPr>
        <w:t>第一条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事故隐患分为一般事故隐患和重大事故隐患。一般事故隐患，是指危害和整改难度较小，发现后能够立即整改排除的隐患。重大事故隐患，是指危害和整改难度较大，应当全部或者局部停产停业，并经过一定时间整改治理方能排除的隐患，或者因外部因素影响致使生产经营单位自身难以排除的隐患。</w:t>
      </w:r>
    </w:p>
    <w:p>
      <w:pPr>
        <w:wordWrap w:val="0"/>
        <w:spacing w:line="380" w:lineRule="exact"/>
        <w:ind w:firstLine="480" w:firstLineChars="200"/>
        <w:rPr>
          <w:rFonts w:ascii="MingLiU" w:hAnsi="MingLiU" w:eastAsia="MingLiU" w:cs="Tahoma"/>
          <w:b w:val="0"/>
          <w:color w:val="333333"/>
          <w:kern w:val="0"/>
          <w:sz w:val="24"/>
          <w:szCs w:val="24"/>
        </w:rPr>
      </w:pPr>
      <w:r>
        <w:rPr>
          <w:rFonts w:hint="eastAsia" w:cs="Tahoma"/>
          <w:b w:val="0"/>
          <w:color w:val="333333"/>
          <w:kern w:val="0"/>
          <w:sz w:val="24"/>
          <w:szCs w:val="24"/>
        </w:rPr>
        <w:t>第二条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对于一般性事故隐患，作业区工艺室主管安全人员按公司对隐患整改要求，应要求有关部门（室）、工段限期排除。</w:t>
      </w:r>
      <w:r>
        <w:rPr>
          <w:rFonts w:hint="eastAsia" w:ascii="MingLiU" w:hAnsi="MingLiU" w:cs="Tahoma"/>
          <w:b w:val="0"/>
          <w:color w:val="333333"/>
          <w:kern w:val="0"/>
          <w:sz w:val="24"/>
          <w:szCs w:val="24"/>
        </w:rPr>
        <w:t xml:space="preserve">              </w:t>
      </w:r>
      <w:r>
        <w:rPr>
          <w:rFonts w:hint="eastAsia" w:ascii="MingLiU" w:hAnsi="MingLiU" w:eastAsia="MingLiU" w:cs="Tahoma"/>
          <w:b w:val="0"/>
          <w:color w:val="333333"/>
          <w:kern w:val="0"/>
          <w:sz w:val="24"/>
          <w:szCs w:val="24"/>
        </w:rPr>
        <w:br w:type="textWrapping"/>
      </w:r>
      <w:r>
        <w:rPr>
          <w:rFonts w:hint="eastAsia" w:ascii="MingLiU" w:hAnsi="MingLiU" w:cs="Tahoma"/>
          <w:b w:val="0"/>
          <w:color w:val="333333"/>
          <w:kern w:val="0"/>
          <w:sz w:val="24"/>
          <w:szCs w:val="24"/>
        </w:rPr>
        <w:t xml:space="preserve">    </w:t>
      </w:r>
      <w:r>
        <w:rPr>
          <w:rFonts w:hint="eastAsia" w:cs="Tahoma"/>
          <w:b w:val="0"/>
          <w:color w:val="333333"/>
          <w:kern w:val="0"/>
          <w:sz w:val="24"/>
          <w:szCs w:val="24"/>
        </w:rPr>
        <w:t>第三条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对于重大事故隐患，作业区工艺室应联系相关部门技术人员做出暂时局部、全部停车或停止使用的强制措施决定，并督促有关部门（室）、工段进行限期彻底整改。</w:t>
      </w:r>
      <w:r>
        <w:rPr>
          <w:rFonts w:hint="eastAsia" w:ascii="MingLiU" w:hAnsi="MingLiU" w:cs="Tahoma"/>
          <w:b w:val="0"/>
          <w:color w:val="333333"/>
          <w:kern w:val="0"/>
          <w:sz w:val="24"/>
          <w:szCs w:val="24"/>
        </w:rPr>
        <w:t xml:space="preserve">              </w:t>
      </w:r>
      <w:r>
        <w:rPr>
          <w:rFonts w:hint="eastAsia" w:ascii="MingLiU" w:hAnsi="MingLiU" w:eastAsia="MingLiU" w:cs="Tahoma"/>
          <w:b w:val="0"/>
          <w:color w:val="333333"/>
          <w:kern w:val="0"/>
          <w:sz w:val="24"/>
          <w:szCs w:val="24"/>
        </w:rPr>
        <w:br w:type="textWrapping"/>
      </w:r>
      <w:r>
        <w:rPr>
          <w:rFonts w:hint="eastAsia" w:ascii="MingLiU" w:hAnsi="MingLiU" w:cs="Tahoma"/>
          <w:b w:val="0"/>
          <w:color w:val="333333"/>
          <w:kern w:val="0"/>
          <w:sz w:val="24"/>
          <w:szCs w:val="24"/>
        </w:rPr>
        <w:t xml:space="preserve">    </w:t>
      </w:r>
      <w:r>
        <w:rPr>
          <w:rFonts w:hint="eastAsia" w:cs="Tahoma"/>
          <w:b w:val="0"/>
          <w:color w:val="333333"/>
          <w:kern w:val="0"/>
          <w:sz w:val="24"/>
          <w:szCs w:val="24"/>
        </w:rPr>
        <w:t>第四条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事故隐患的范围</w:t>
      </w:r>
    </w:p>
    <w:p>
      <w:pPr>
        <w:wordWrap w:val="0"/>
        <w:spacing w:line="380" w:lineRule="exact"/>
        <w:ind w:firstLine="480" w:firstLineChars="200"/>
        <w:rPr>
          <w:rFonts w:ascii="MingLiU" w:hAnsi="MingLiU" w:eastAsia="MingLiU" w:cs="Tahoma"/>
          <w:b w:val="0"/>
          <w:color w:val="333333"/>
          <w:kern w:val="0"/>
          <w:sz w:val="24"/>
          <w:szCs w:val="24"/>
        </w:rPr>
      </w:pPr>
      <w:r>
        <w:rPr>
          <w:rFonts w:hint="eastAsia" w:ascii="MingLiU" w:hAnsi="MingLiU" w:cs="Tahoma"/>
          <w:b w:val="0"/>
          <w:color w:val="333333"/>
          <w:kern w:val="0"/>
          <w:sz w:val="24"/>
          <w:szCs w:val="24"/>
        </w:rPr>
        <w:t>1</w:t>
      </w:r>
      <w:r>
        <w:rPr>
          <w:rFonts w:hint="eastAsia" w:cs="Tahoma"/>
          <w:b w:val="0"/>
          <w:color w:val="333333"/>
          <w:kern w:val="0"/>
          <w:sz w:val="24"/>
          <w:szCs w:val="24"/>
        </w:rPr>
        <w:t>、危及安全生产的不安全因素或重大险情。</w:t>
      </w:r>
    </w:p>
    <w:p>
      <w:pPr>
        <w:wordWrap w:val="0"/>
        <w:spacing w:line="380" w:lineRule="exact"/>
        <w:ind w:firstLine="480" w:firstLineChars="200"/>
        <w:rPr>
          <w:rFonts w:ascii="MingLiU" w:hAnsi="MingLiU" w:eastAsia="MingLiU" w:cs="Tahoma"/>
          <w:b w:val="0"/>
          <w:color w:val="333333"/>
          <w:kern w:val="0"/>
          <w:sz w:val="24"/>
          <w:szCs w:val="24"/>
        </w:rPr>
      </w:pPr>
      <w:r>
        <w:rPr>
          <w:rFonts w:hint="eastAsia" w:ascii="MingLiU" w:hAnsi="MingLiU" w:cs="Tahoma"/>
          <w:b w:val="0"/>
          <w:color w:val="333333"/>
          <w:kern w:val="0"/>
          <w:sz w:val="24"/>
          <w:szCs w:val="24"/>
        </w:rPr>
        <w:t>2</w:t>
      </w:r>
      <w:r>
        <w:rPr>
          <w:rFonts w:hint="eastAsia" w:cs="Tahoma"/>
          <w:b w:val="0"/>
          <w:color w:val="333333"/>
          <w:kern w:val="0"/>
          <w:sz w:val="24"/>
          <w:szCs w:val="24"/>
        </w:rPr>
        <w:t>、可能导致事故发生和危害扩大的设计缺陷、工艺缺陷、设备缺陷等。</w:t>
      </w:r>
    </w:p>
    <w:p>
      <w:pPr>
        <w:wordWrap w:val="0"/>
        <w:spacing w:line="380" w:lineRule="exact"/>
        <w:ind w:firstLine="480" w:firstLineChars="200"/>
        <w:rPr>
          <w:rFonts w:ascii="MingLiU" w:hAnsi="MingLiU" w:eastAsia="MingLiU" w:cs="Tahoma"/>
          <w:b w:val="0"/>
          <w:color w:val="333333"/>
          <w:kern w:val="0"/>
          <w:sz w:val="24"/>
          <w:szCs w:val="24"/>
        </w:rPr>
      </w:pPr>
      <w:r>
        <w:rPr>
          <w:rFonts w:hint="eastAsia" w:ascii="MingLiU" w:hAnsi="MingLiU" w:cs="Tahoma"/>
          <w:b w:val="0"/>
          <w:color w:val="333333"/>
          <w:kern w:val="0"/>
          <w:sz w:val="24"/>
          <w:szCs w:val="24"/>
        </w:rPr>
        <w:t>3</w:t>
      </w:r>
      <w:r>
        <w:rPr>
          <w:rFonts w:hint="eastAsia" w:cs="Tahoma"/>
          <w:b w:val="0"/>
          <w:color w:val="333333"/>
          <w:kern w:val="0"/>
          <w:sz w:val="24"/>
          <w:szCs w:val="24"/>
        </w:rPr>
        <w:t>、建设、施工、检修过程中可能发生的各种能量伤害。</w:t>
      </w:r>
    </w:p>
    <w:p>
      <w:pPr>
        <w:wordWrap w:val="0"/>
        <w:spacing w:line="380" w:lineRule="exact"/>
        <w:ind w:firstLine="480" w:firstLineChars="200"/>
        <w:rPr>
          <w:rFonts w:ascii="MingLiU" w:hAnsi="MingLiU" w:eastAsia="MingLiU" w:cs="Tahoma"/>
          <w:b w:val="0"/>
          <w:color w:val="333333"/>
          <w:kern w:val="0"/>
          <w:sz w:val="24"/>
          <w:szCs w:val="24"/>
        </w:rPr>
      </w:pPr>
      <w:r>
        <w:rPr>
          <w:rFonts w:hint="eastAsia" w:ascii="MingLiU" w:hAnsi="MingLiU" w:cs="Tahoma"/>
          <w:b w:val="0"/>
          <w:color w:val="333333"/>
          <w:kern w:val="0"/>
          <w:sz w:val="24"/>
          <w:szCs w:val="24"/>
        </w:rPr>
        <w:t>4</w:t>
      </w:r>
      <w:r>
        <w:rPr>
          <w:rFonts w:hint="eastAsia" w:cs="Tahoma"/>
          <w:b w:val="0"/>
          <w:color w:val="333333"/>
          <w:kern w:val="0"/>
          <w:sz w:val="24"/>
          <w:szCs w:val="24"/>
        </w:rPr>
        <w:t>、停工、生产可能发生的煤气泄漏、火灾、爆炸、中毒。</w:t>
      </w:r>
    </w:p>
    <w:p>
      <w:pPr>
        <w:wordWrap w:val="0"/>
        <w:spacing w:line="380" w:lineRule="exact"/>
        <w:ind w:firstLine="480" w:firstLineChars="200"/>
        <w:rPr>
          <w:rFonts w:ascii="MingLiU" w:hAnsi="MingLiU" w:eastAsia="MingLiU" w:cs="Tahoma"/>
          <w:b w:val="0"/>
          <w:color w:val="333333"/>
          <w:kern w:val="0"/>
          <w:sz w:val="24"/>
          <w:szCs w:val="24"/>
        </w:rPr>
      </w:pPr>
      <w:r>
        <w:rPr>
          <w:rFonts w:hint="eastAsia" w:ascii="MingLiU" w:hAnsi="MingLiU" w:cs="Tahoma"/>
          <w:b w:val="0"/>
          <w:color w:val="333333"/>
          <w:kern w:val="0"/>
          <w:sz w:val="24"/>
          <w:szCs w:val="24"/>
        </w:rPr>
        <w:t>5</w:t>
      </w:r>
      <w:r>
        <w:rPr>
          <w:rFonts w:hint="eastAsia" w:cs="Tahoma"/>
          <w:b w:val="0"/>
          <w:color w:val="333333"/>
          <w:kern w:val="0"/>
          <w:sz w:val="24"/>
          <w:szCs w:val="24"/>
        </w:rPr>
        <w:t>、可能造成职业病、职业中毒的劳动环境和作业条件。</w:t>
      </w:r>
    </w:p>
    <w:p>
      <w:pPr>
        <w:wordWrap w:val="0"/>
        <w:spacing w:line="380" w:lineRule="exact"/>
        <w:ind w:firstLine="480" w:firstLineChars="200"/>
        <w:rPr>
          <w:rFonts w:ascii="MingLiU" w:hAnsi="MingLiU" w:eastAsia="MingLiU" w:cs="Tahoma"/>
          <w:b w:val="0"/>
          <w:color w:val="333333"/>
          <w:kern w:val="0"/>
          <w:sz w:val="24"/>
          <w:szCs w:val="24"/>
        </w:rPr>
      </w:pPr>
      <w:r>
        <w:rPr>
          <w:rFonts w:hint="eastAsia" w:ascii="MingLiU" w:hAnsi="MingLiU" w:cs="Tahoma"/>
          <w:b w:val="0"/>
          <w:color w:val="333333"/>
          <w:kern w:val="0"/>
          <w:sz w:val="24"/>
          <w:szCs w:val="24"/>
        </w:rPr>
        <w:t>6</w:t>
      </w:r>
      <w:r>
        <w:rPr>
          <w:rFonts w:hint="eastAsia" w:cs="Tahoma"/>
          <w:b w:val="0"/>
          <w:color w:val="333333"/>
          <w:kern w:val="0"/>
          <w:sz w:val="24"/>
          <w:szCs w:val="24"/>
        </w:rPr>
        <w:t>、在敏感地区进行作业活动可能导致的重大污染。</w:t>
      </w:r>
    </w:p>
    <w:p>
      <w:pPr>
        <w:wordWrap w:val="0"/>
        <w:spacing w:line="380" w:lineRule="exact"/>
        <w:ind w:firstLine="480" w:firstLineChars="200"/>
        <w:rPr>
          <w:rFonts w:ascii="MingLiU" w:hAnsi="MingLiU" w:eastAsia="MingLiU" w:cs="Tahoma"/>
          <w:b w:val="0"/>
          <w:color w:val="333333"/>
          <w:kern w:val="0"/>
          <w:sz w:val="24"/>
          <w:szCs w:val="24"/>
        </w:rPr>
      </w:pPr>
      <w:r>
        <w:rPr>
          <w:rFonts w:hint="eastAsia" w:ascii="MingLiU" w:hAnsi="MingLiU" w:cs="Tahoma"/>
          <w:b w:val="0"/>
          <w:color w:val="333333"/>
          <w:kern w:val="0"/>
          <w:sz w:val="24"/>
          <w:szCs w:val="24"/>
        </w:rPr>
        <w:t>7</w:t>
      </w:r>
      <w:r>
        <w:rPr>
          <w:rFonts w:hint="eastAsia" w:cs="Tahoma"/>
          <w:b w:val="0"/>
          <w:color w:val="333333"/>
          <w:kern w:val="0"/>
          <w:sz w:val="24"/>
          <w:szCs w:val="24"/>
        </w:rPr>
        <w:t>、丢弃、废弃、拆除与处理活动（包括停用报废装置设备的拆除，废弃危险化学品的处理等）。</w:t>
      </w:r>
    </w:p>
    <w:p>
      <w:pPr>
        <w:wordWrap w:val="0"/>
        <w:spacing w:line="380" w:lineRule="exact"/>
        <w:ind w:firstLine="480" w:firstLineChars="200"/>
        <w:rPr>
          <w:rFonts w:ascii="MingLiU" w:hAnsi="MingLiU" w:eastAsia="MingLiU" w:cs="Tahoma"/>
          <w:b w:val="0"/>
          <w:color w:val="333333"/>
          <w:kern w:val="0"/>
          <w:sz w:val="24"/>
          <w:szCs w:val="24"/>
        </w:rPr>
      </w:pPr>
      <w:r>
        <w:rPr>
          <w:rFonts w:hint="eastAsia" w:ascii="MingLiU" w:hAnsi="MingLiU" w:cs="Tahoma"/>
          <w:b w:val="0"/>
          <w:color w:val="333333"/>
          <w:kern w:val="0"/>
          <w:sz w:val="24"/>
          <w:szCs w:val="24"/>
        </w:rPr>
        <w:t>8</w:t>
      </w:r>
      <w:r>
        <w:rPr>
          <w:rFonts w:hint="eastAsia" w:cs="Tahoma"/>
          <w:b w:val="0"/>
          <w:color w:val="333333"/>
          <w:kern w:val="0"/>
          <w:sz w:val="24"/>
          <w:szCs w:val="24"/>
        </w:rPr>
        <w:t>、可能造成环境污染和生态破坏的活动、过程、产品和服务。</w:t>
      </w:r>
    </w:p>
    <w:p>
      <w:pPr>
        <w:wordWrap w:val="0"/>
        <w:spacing w:line="380" w:lineRule="exact"/>
        <w:ind w:firstLine="480" w:firstLineChars="200"/>
        <w:rPr>
          <w:rFonts w:ascii="MingLiU" w:hAnsi="MingLiU" w:eastAsia="MingLiU" w:cs="Tahoma"/>
          <w:b w:val="0"/>
          <w:color w:val="333333"/>
          <w:kern w:val="0"/>
          <w:sz w:val="24"/>
          <w:szCs w:val="24"/>
        </w:rPr>
      </w:pPr>
      <w:r>
        <w:rPr>
          <w:rFonts w:hint="eastAsia" w:ascii="MingLiU" w:hAnsi="MingLiU" w:cs="Tahoma"/>
          <w:b w:val="0"/>
          <w:color w:val="333333"/>
          <w:kern w:val="0"/>
          <w:sz w:val="24"/>
          <w:szCs w:val="24"/>
        </w:rPr>
        <w:t>9</w:t>
      </w:r>
      <w:r>
        <w:rPr>
          <w:rFonts w:hint="eastAsia" w:cs="Tahoma"/>
          <w:b w:val="0"/>
          <w:color w:val="333333"/>
          <w:kern w:val="0"/>
          <w:sz w:val="24"/>
          <w:szCs w:val="24"/>
        </w:rPr>
        <w:t>、以往生产活动遗留下来的潜在危害和影响。</w:t>
      </w:r>
    </w:p>
    <w:p>
      <w:pPr>
        <w:wordWrap w:val="0"/>
        <w:spacing w:line="380" w:lineRule="exact"/>
        <w:ind w:firstLine="480" w:firstLineChars="200"/>
        <w:rPr>
          <w:rFonts w:ascii="MingLiU" w:hAnsi="MingLiU" w:eastAsia="MingLiU" w:cs="Tahoma"/>
          <w:b w:val="0"/>
          <w:color w:val="333333"/>
          <w:kern w:val="0"/>
          <w:sz w:val="24"/>
          <w:szCs w:val="24"/>
        </w:rPr>
      </w:pPr>
      <w:r>
        <w:rPr>
          <w:rFonts w:hint="eastAsia" w:cs="Tahoma"/>
          <w:b w:val="0"/>
          <w:color w:val="333333"/>
          <w:kern w:val="0"/>
          <w:sz w:val="24"/>
          <w:szCs w:val="24"/>
        </w:rPr>
        <w:t>第五条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作业区每周应会同各相关部门，对作业区进行隐患排查一次，每月进行一次安全大检查。</w:t>
      </w:r>
    </w:p>
    <w:p>
      <w:pPr>
        <w:wordWrap w:val="0"/>
        <w:spacing w:line="380" w:lineRule="exact"/>
        <w:ind w:firstLine="480" w:firstLineChars="200"/>
        <w:rPr>
          <w:rFonts w:ascii="MingLiU" w:hAnsi="MingLiU" w:eastAsia="MingLiU" w:cs="Tahoma"/>
          <w:b w:val="0"/>
          <w:color w:val="333333"/>
          <w:kern w:val="0"/>
          <w:sz w:val="24"/>
          <w:szCs w:val="24"/>
        </w:rPr>
      </w:pPr>
      <w:r>
        <w:rPr>
          <w:rFonts w:hint="eastAsia" w:cs="Tahoma"/>
          <w:b w:val="0"/>
          <w:color w:val="333333"/>
          <w:kern w:val="0"/>
          <w:sz w:val="24"/>
          <w:szCs w:val="24"/>
        </w:rPr>
        <w:t>第六条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对所排查的安全隐患，由作业区工艺室会同相关部门编制整改措施，并下发《事故隐患整改通知书》，由各部门、工段负责人负责落实整改。</w:t>
      </w:r>
    </w:p>
    <w:p>
      <w:pPr>
        <w:wordWrap w:val="0"/>
        <w:spacing w:line="380" w:lineRule="exact"/>
        <w:ind w:firstLine="480" w:firstLineChars="200"/>
        <w:rPr>
          <w:rFonts w:ascii="MingLiU" w:hAnsi="MingLiU" w:eastAsia="MingLiU" w:cs="Tahoma"/>
          <w:b w:val="0"/>
          <w:color w:val="333333"/>
          <w:kern w:val="0"/>
          <w:sz w:val="24"/>
          <w:szCs w:val="24"/>
        </w:rPr>
      </w:pPr>
      <w:r>
        <w:rPr>
          <w:rFonts w:hint="eastAsia" w:cs="Tahoma"/>
          <w:b w:val="0"/>
          <w:color w:val="333333"/>
          <w:kern w:val="0"/>
          <w:sz w:val="24"/>
          <w:szCs w:val="24"/>
        </w:rPr>
        <w:t>第七条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对难以立即整改的重特大事故隐患，应制定整改方案，方案需包括：治理的目标和任务、采取的方法和措施、经费和物资的落实、负责治理的机构和人员、治理的时限和要求、安全措施和应急预案。</w:t>
      </w:r>
    </w:p>
    <w:p>
      <w:pPr>
        <w:wordWrap w:val="0"/>
        <w:spacing w:line="380" w:lineRule="exact"/>
        <w:ind w:firstLine="480" w:firstLineChars="200"/>
        <w:rPr>
          <w:rFonts w:ascii="MingLiU" w:hAnsi="MingLiU" w:eastAsia="MingLiU" w:cs="Tahoma"/>
          <w:b w:val="0"/>
          <w:color w:val="333333"/>
          <w:kern w:val="0"/>
          <w:sz w:val="24"/>
          <w:szCs w:val="24"/>
        </w:rPr>
      </w:pPr>
      <w:r>
        <w:rPr>
          <w:rFonts w:hint="eastAsia" w:cs="Tahoma"/>
          <w:b w:val="0"/>
          <w:color w:val="333333"/>
          <w:kern w:val="0"/>
          <w:sz w:val="24"/>
          <w:szCs w:val="24"/>
        </w:rPr>
        <w:t>第八条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在隐患治理过程中，负责整改的部门应采取相应的安全防护措施，防止事故发生，事故隐患在排除前或排除过程中无法保证安全的，应当从危险区域内撤出作业人员，并疏散可能危及的其它人员，设置警戒标志，暂时停止使用或停车，对难以停止使用或停车的相关生产装置、设施、设备，应当加强维护和保养，防止事故发生。</w:t>
      </w:r>
    </w:p>
    <w:p>
      <w:pPr>
        <w:wordWrap w:val="0"/>
        <w:spacing w:line="380" w:lineRule="exact"/>
        <w:ind w:firstLine="480" w:firstLineChars="200"/>
        <w:rPr>
          <w:rFonts w:ascii="MingLiU" w:hAnsi="MingLiU" w:eastAsia="MingLiU" w:cs="Tahoma"/>
          <w:b w:val="0"/>
          <w:color w:val="333333"/>
          <w:kern w:val="0"/>
          <w:sz w:val="24"/>
          <w:szCs w:val="24"/>
        </w:rPr>
      </w:pPr>
      <w:r>
        <w:rPr>
          <w:rFonts w:hint="eastAsia" w:cs="Tahoma"/>
          <w:b w:val="0"/>
          <w:color w:val="333333"/>
          <w:kern w:val="0"/>
          <w:sz w:val="24"/>
          <w:szCs w:val="24"/>
        </w:rPr>
        <w:t>第九条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对于重大事故隐患，各部门、工段负责人应及时向公司安环部报告，报告包括：隐患的现状及其产生原因、隐患的危害程度和整改难以程度分析、隐患的治理方案。</w:t>
      </w:r>
    </w:p>
    <w:p>
      <w:pPr>
        <w:wordWrap w:val="0"/>
        <w:spacing w:line="380" w:lineRule="exact"/>
        <w:ind w:firstLine="480" w:firstLineChars="200"/>
        <w:rPr>
          <w:rFonts w:ascii="MingLiU" w:hAnsi="MingLiU" w:eastAsia="MingLiU" w:cs="Tahoma"/>
          <w:b w:val="0"/>
          <w:color w:val="333333"/>
          <w:kern w:val="0"/>
          <w:sz w:val="24"/>
          <w:szCs w:val="24"/>
        </w:rPr>
      </w:pPr>
      <w:r>
        <w:rPr>
          <w:rFonts w:hint="eastAsia" w:cs="Tahoma"/>
          <w:b w:val="0"/>
          <w:color w:val="333333"/>
          <w:kern w:val="0"/>
          <w:sz w:val="24"/>
          <w:szCs w:val="24"/>
        </w:rPr>
        <w:t>第十条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事故隐患坚持</w:t>
      </w:r>
      <w:r>
        <w:rPr>
          <w:rFonts w:hint="eastAsia" w:ascii="MingLiU" w:hAnsi="MingLiU" w:cs="Tahoma"/>
          <w:b w:val="0"/>
          <w:color w:val="333333"/>
          <w:kern w:val="0"/>
          <w:sz w:val="24"/>
          <w:szCs w:val="24"/>
        </w:rPr>
        <w:t>“谁存在事故隐患，谁负责监控整改”的原则，由存在事故隐患的车间、部门组织整改，整改责任人为各部门、工段主要负责人。</w:t>
      </w:r>
    </w:p>
    <w:p>
      <w:pPr>
        <w:wordWrap w:val="0"/>
        <w:spacing w:line="380" w:lineRule="exact"/>
        <w:ind w:firstLine="480" w:firstLineChars="200"/>
        <w:rPr>
          <w:rFonts w:ascii="MingLiU" w:hAnsi="MingLiU" w:eastAsia="MingLiU" w:cs="Tahoma"/>
          <w:b w:val="0"/>
          <w:color w:val="333333"/>
          <w:kern w:val="0"/>
          <w:sz w:val="24"/>
          <w:szCs w:val="24"/>
        </w:rPr>
      </w:pPr>
      <w:r>
        <w:rPr>
          <w:rFonts w:hint="eastAsia" w:cs="Tahoma"/>
          <w:b w:val="0"/>
          <w:color w:val="333333"/>
          <w:kern w:val="0"/>
          <w:sz w:val="24"/>
          <w:szCs w:val="24"/>
        </w:rPr>
        <w:t>第十一条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各部门、工段和相关人员，对查出的隐患都要逐项分析研究，并提出整改措施。定措施、定负责人、定资金来源、定完成期限，凡当班组能整改地不准推向工段，凡车间能整改地不准推向公司主管部门的原则按期完成整改任务。</w:t>
      </w:r>
    </w:p>
    <w:p>
      <w:pPr>
        <w:wordWrap w:val="0"/>
        <w:spacing w:line="380" w:lineRule="exact"/>
        <w:ind w:firstLine="480" w:firstLineChars="200"/>
        <w:rPr>
          <w:rFonts w:ascii="MingLiU" w:hAnsi="MingLiU" w:eastAsia="MingLiU" w:cs="Tahoma"/>
          <w:b w:val="0"/>
          <w:color w:val="333333"/>
          <w:kern w:val="0"/>
          <w:sz w:val="24"/>
          <w:szCs w:val="24"/>
        </w:rPr>
      </w:pPr>
      <w:r>
        <w:rPr>
          <w:rFonts w:hint="eastAsia" w:cs="Tahoma"/>
          <w:b w:val="0"/>
          <w:color w:val="333333"/>
          <w:kern w:val="0"/>
          <w:sz w:val="24"/>
          <w:szCs w:val="24"/>
        </w:rPr>
        <w:t>第十二条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整改责任单位要按照《事故隐患整改通知书》要求，对事故隐患认真整改，并于规定的时限内，向公司管理课报告整改情况。整改期限内，要采取有效的防范措施，进行专人监控，明确责任，坚决杜绝各类事故的发生。</w:t>
      </w:r>
    </w:p>
    <w:p>
      <w:pPr>
        <w:wordWrap w:val="0"/>
        <w:spacing w:line="380" w:lineRule="exact"/>
        <w:ind w:firstLine="480" w:firstLineChars="200"/>
        <w:rPr>
          <w:rFonts w:ascii="MingLiU" w:hAnsi="MingLiU" w:eastAsia="MingLiU" w:cs="Tahoma"/>
          <w:b w:val="0"/>
          <w:color w:val="333333"/>
          <w:kern w:val="0"/>
          <w:sz w:val="24"/>
          <w:szCs w:val="24"/>
        </w:rPr>
      </w:pPr>
      <w:r>
        <w:rPr>
          <w:rFonts w:hint="eastAsia" w:cs="Tahoma"/>
          <w:b w:val="0"/>
          <w:color w:val="333333"/>
          <w:kern w:val="0"/>
          <w:sz w:val="24"/>
          <w:szCs w:val="24"/>
        </w:rPr>
        <w:t>第十三条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整改工作结束后，整改部门要按要求写出隐患整改回复报告，由安环部组织检查验收。</w:t>
      </w:r>
    </w:p>
    <w:p>
      <w:pPr>
        <w:wordWrap w:val="0"/>
        <w:spacing w:line="380" w:lineRule="exact"/>
        <w:ind w:firstLine="480" w:firstLineChars="200"/>
        <w:rPr>
          <w:rFonts w:ascii="MingLiU" w:hAnsi="MingLiU" w:eastAsia="MingLiU" w:cs="Tahoma"/>
          <w:b w:val="0"/>
          <w:color w:val="333333"/>
          <w:kern w:val="0"/>
          <w:sz w:val="24"/>
          <w:szCs w:val="24"/>
        </w:rPr>
      </w:pPr>
      <w:r>
        <w:rPr>
          <w:rFonts w:hint="eastAsia" w:cs="Tahoma"/>
          <w:b w:val="0"/>
          <w:color w:val="333333"/>
          <w:kern w:val="0"/>
          <w:sz w:val="24"/>
          <w:szCs w:val="24"/>
        </w:rPr>
        <w:t>第十四条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对整改措施不到位，检查验收不合格，事故隐患未消除的应停止其相关设施、设备的运行和操作使用。直到检查验收合格后方可恢复运行。</w:t>
      </w:r>
    </w:p>
    <w:p>
      <w:pPr>
        <w:wordWrap w:val="0"/>
        <w:spacing w:line="380" w:lineRule="exact"/>
        <w:ind w:firstLine="480" w:firstLineChars="200"/>
        <w:rPr>
          <w:rFonts w:ascii="MingLiU" w:hAnsi="MingLiU" w:eastAsia="MingLiU" w:cs="Tahoma"/>
          <w:b w:val="0"/>
          <w:color w:val="333333"/>
          <w:kern w:val="0"/>
          <w:sz w:val="24"/>
          <w:szCs w:val="24"/>
        </w:rPr>
      </w:pPr>
      <w:r>
        <w:rPr>
          <w:rFonts w:hint="eastAsia" w:cs="Tahoma"/>
          <w:b w:val="0"/>
          <w:color w:val="333333"/>
          <w:kern w:val="0"/>
          <w:sz w:val="24"/>
          <w:szCs w:val="24"/>
        </w:rPr>
        <w:t>第十六条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作业区工艺室每月应对公司隐患排查治理情况进行统计分析，并交公司安环部主要负责人签字报公司备案。</w:t>
      </w:r>
    </w:p>
    <w:p>
      <w:pPr>
        <w:wordWrap w:val="0"/>
        <w:spacing w:line="380" w:lineRule="exact"/>
        <w:ind w:firstLine="480" w:firstLineChars="200"/>
        <w:rPr>
          <w:rFonts w:ascii="MingLiU" w:hAnsi="MingLiU" w:eastAsia="MingLiU" w:cs="Tahoma"/>
          <w:b w:val="0"/>
          <w:color w:val="333333"/>
          <w:kern w:val="0"/>
          <w:sz w:val="24"/>
          <w:szCs w:val="24"/>
        </w:rPr>
      </w:pPr>
      <w:r>
        <w:rPr>
          <w:rFonts w:hint="eastAsia" w:cs="Tahoma"/>
          <w:b w:val="0"/>
          <w:color w:val="333333"/>
          <w:kern w:val="0"/>
          <w:sz w:val="24"/>
          <w:szCs w:val="24"/>
        </w:rPr>
        <w:t>第十五条</w:t>
      </w:r>
      <w:r>
        <w:rPr>
          <w:rFonts w:hint="eastAsia" w:ascii="MingLiU" w:hAnsi="MingLiU" w:cs="Tahoma"/>
          <w:b w:val="0"/>
          <w:color w:val="333333"/>
          <w:kern w:val="0"/>
          <w:sz w:val="24"/>
          <w:szCs w:val="24"/>
        </w:rPr>
        <w:t xml:space="preserve">  </w:t>
      </w:r>
      <w:r>
        <w:rPr>
          <w:rFonts w:hint="eastAsia" w:cs="Tahoma"/>
          <w:b w:val="0"/>
          <w:color w:val="333333"/>
          <w:kern w:val="0"/>
          <w:sz w:val="24"/>
          <w:szCs w:val="24"/>
        </w:rPr>
        <w:t>处罚</w:t>
      </w:r>
    </w:p>
    <w:p>
      <w:pPr>
        <w:wordWrap w:val="0"/>
        <w:spacing w:line="380" w:lineRule="exact"/>
        <w:ind w:firstLine="480" w:firstLineChars="200"/>
        <w:rPr>
          <w:rFonts w:ascii="MingLiU" w:hAnsi="MingLiU" w:eastAsia="MingLiU" w:cs="Tahoma"/>
          <w:b w:val="0"/>
          <w:color w:val="333333"/>
          <w:kern w:val="0"/>
          <w:sz w:val="24"/>
          <w:szCs w:val="24"/>
        </w:rPr>
      </w:pPr>
      <w:r>
        <w:rPr>
          <w:rFonts w:hint="eastAsia" w:ascii="MingLiU" w:hAnsi="MingLiU" w:cs="Tahoma"/>
          <w:b w:val="0"/>
          <w:color w:val="333333"/>
          <w:kern w:val="0"/>
          <w:sz w:val="24"/>
          <w:szCs w:val="24"/>
        </w:rPr>
        <w:t>1</w:t>
      </w:r>
      <w:r>
        <w:rPr>
          <w:rFonts w:hint="eastAsia" w:cs="Tahoma"/>
          <w:b w:val="0"/>
          <w:color w:val="333333"/>
          <w:kern w:val="0"/>
          <w:sz w:val="24"/>
          <w:szCs w:val="24"/>
        </w:rPr>
        <w:t>、对不及时报告、隐报、瞒报重大事故隐患的部门、工段主要负责人处当月绩效奖金</w:t>
      </w:r>
      <w:r>
        <w:rPr>
          <w:rFonts w:hint="eastAsia" w:ascii="MingLiU" w:hAnsi="MingLiU" w:cs="Tahoma"/>
          <w:b w:val="0"/>
          <w:color w:val="333333"/>
          <w:kern w:val="0"/>
          <w:sz w:val="24"/>
          <w:szCs w:val="24"/>
        </w:rPr>
        <w:t>50%</w:t>
      </w:r>
      <w:r>
        <w:rPr>
          <w:rFonts w:hint="eastAsia" w:cs="Tahoma"/>
          <w:b w:val="0"/>
          <w:color w:val="333333"/>
          <w:kern w:val="0"/>
          <w:sz w:val="24"/>
          <w:szCs w:val="24"/>
        </w:rPr>
        <w:t>罚款。</w:t>
      </w:r>
    </w:p>
    <w:p>
      <w:pPr>
        <w:wordWrap w:val="0"/>
        <w:spacing w:line="380" w:lineRule="exact"/>
        <w:ind w:firstLine="480" w:firstLineChars="200"/>
        <w:rPr>
          <w:rFonts w:ascii="MingLiU" w:hAnsi="MingLiU" w:eastAsia="MingLiU" w:cs="Tahoma"/>
          <w:b w:val="0"/>
          <w:color w:val="333333"/>
          <w:kern w:val="0"/>
          <w:sz w:val="24"/>
          <w:szCs w:val="24"/>
        </w:rPr>
      </w:pPr>
      <w:r>
        <w:rPr>
          <w:rFonts w:hint="eastAsia" w:ascii="MingLiU" w:hAnsi="MingLiU" w:cs="Tahoma"/>
          <w:b w:val="0"/>
          <w:color w:val="333333"/>
          <w:kern w:val="0"/>
          <w:sz w:val="24"/>
          <w:szCs w:val="24"/>
        </w:rPr>
        <w:t>2</w:t>
      </w:r>
      <w:r>
        <w:rPr>
          <w:rFonts w:hint="eastAsia" w:cs="Tahoma"/>
          <w:b w:val="0"/>
          <w:color w:val="333333"/>
          <w:kern w:val="0"/>
          <w:sz w:val="24"/>
          <w:szCs w:val="24"/>
        </w:rPr>
        <w:t>、对查出的事故隐患，在整改过程中不制定治理方案的部门、工段主要责任人处当月绩效奖金</w:t>
      </w:r>
      <w:r>
        <w:rPr>
          <w:rFonts w:hint="eastAsia" w:ascii="MingLiU" w:hAnsi="MingLiU" w:cs="Tahoma"/>
          <w:b w:val="0"/>
          <w:color w:val="333333"/>
          <w:kern w:val="0"/>
          <w:sz w:val="24"/>
          <w:szCs w:val="24"/>
        </w:rPr>
        <w:t>50%</w:t>
      </w:r>
      <w:r>
        <w:rPr>
          <w:rFonts w:hint="eastAsia" w:cs="Tahoma"/>
          <w:b w:val="0"/>
          <w:color w:val="333333"/>
          <w:kern w:val="0"/>
          <w:sz w:val="24"/>
          <w:szCs w:val="24"/>
        </w:rPr>
        <w:t>罚款。</w:t>
      </w:r>
    </w:p>
    <w:p>
      <w:pPr>
        <w:wordWrap w:val="0"/>
        <w:spacing w:line="380" w:lineRule="exact"/>
        <w:ind w:firstLine="480" w:firstLineChars="200"/>
        <w:rPr>
          <w:rFonts w:ascii="MingLiU" w:hAnsi="MingLiU" w:eastAsia="MingLiU" w:cs="Tahoma"/>
          <w:b w:val="0"/>
          <w:color w:val="333333"/>
          <w:kern w:val="0"/>
          <w:sz w:val="24"/>
          <w:szCs w:val="24"/>
        </w:rPr>
      </w:pPr>
      <w:r>
        <w:rPr>
          <w:rFonts w:hint="eastAsia" w:ascii="MingLiU" w:hAnsi="MingLiU" w:cs="Tahoma"/>
          <w:b w:val="0"/>
          <w:color w:val="333333"/>
          <w:kern w:val="0"/>
          <w:sz w:val="24"/>
          <w:szCs w:val="24"/>
        </w:rPr>
        <w:t>3</w:t>
      </w:r>
      <w:r>
        <w:rPr>
          <w:rFonts w:hint="eastAsia" w:cs="Tahoma"/>
          <w:b w:val="0"/>
          <w:color w:val="333333"/>
          <w:kern w:val="0"/>
          <w:sz w:val="24"/>
          <w:szCs w:val="24"/>
        </w:rPr>
        <w:t>、对查出的事故隐患，不及时进行整改治理，擅自生产作业的部门、工段主要责任人处当月绩效奖金</w:t>
      </w:r>
      <w:r>
        <w:rPr>
          <w:rFonts w:hint="eastAsia" w:ascii="MingLiU" w:hAnsi="MingLiU" w:cs="Tahoma"/>
          <w:b w:val="0"/>
          <w:color w:val="333333"/>
          <w:kern w:val="0"/>
          <w:sz w:val="24"/>
          <w:szCs w:val="24"/>
        </w:rPr>
        <w:t>50%</w:t>
      </w:r>
      <w:r>
        <w:rPr>
          <w:rFonts w:hint="eastAsia" w:cs="Tahoma"/>
          <w:b w:val="0"/>
          <w:color w:val="333333"/>
          <w:kern w:val="0"/>
          <w:sz w:val="24"/>
          <w:szCs w:val="24"/>
        </w:rPr>
        <w:t>罚款。</w:t>
      </w:r>
    </w:p>
    <w:p>
      <w:pPr>
        <w:wordWrap w:val="0"/>
        <w:spacing w:line="380" w:lineRule="exact"/>
        <w:ind w:firstLine="480" w:firstLineChars="200"/>
        <w:rPr>
          <w:rFonts w:ascii="MingLiU" w:hAnsi="MingLiU" w:eastAsia="MingLiU" w:cs="Tahoma"/>
          <w:b w:val="0"/>
          <w:color w:val="333333"/>
          <w:kern w:val="0"/>
          <w:sz w:val="24"/>
          <w:szCs w:val="24"/>
        </w:rPr>
      </w:pPr>
      <w:r>
        <w:rPr>
          <w:rFonts w:hint="eastAsia" w:ascii="MingLiU" w:hAnsi="MingLiU" w:cs="Tahoma"/>
          <w:b w:val="0"/>
          <w:color w:val="333333"/>
          <w:kern w:val="0"/>
          <w:sz w:val="24"/>
          <w:szCs w:val="24"/>
        </w:rPr>
        <w:t>4</w:t>
      </w:r>
      <w:r>
        <w:rPr>
          <w:rFonts w:hint="eastAsia" w:cs="Tahoma"/>
          <w:b w:val="0"/>
          <w:color w:val="333333"/>
          <w:kern w:val="0"/>
          <w:sz w:val="24"/>
          <w:szCs w:val="24"/>
        </w:rPr>
        <w:t>、对不及时报送事故隐患排查治理统计分析表的，处工艺室主要负责安全人当月绩效奖金</w:t>
      </w:r>
      <w:r>
        <w:rPr>
          <w:rFonts w:hint="eastAsia" w:ascii="MingLiU" w:hAnsi="MingLiU" w:cs="Tahoma"/>
          <w:b w:val="0"/>
          <w:color w:val="333333"/>
          <w:kern w:val="0"/>
          <w:sz w:val="24"/>
          <w:szCs w:val="24"/>
        </w:rPr>
        <w:t>50%</w:t>
      </w:r>
      <w:r>
        <w:rPr>
          <w:rFonts w:hint="eastAsia" w:cs="Tahoma"/>
          <w:b w:val="0"/>
          <w:color w:val="333333"/>
          <w:kern w:val="0"/>
          <w:sz w:val="24"/>
          <w:szCs w:val="24"/>
        </w:rPr>
        <w:t>罚款。</w:t>
      </w:r>
    </w:p>
    <w:p>
      <w:pPr>
        <w:rPr>
          <w:rFonts w:hint="eastAsia" w:ascii="仿宋_GB2312" w:hAnsi="仿宋_GB2312"/>
          <w:b w:val="0"/>
          <w:sz w:val="24"/>
          <w:szCs w:val="24"/>
        </w:rPr>
      </w:pPr>
    </w:p>
    <w:p>
      <w:pPr>
        <w:rPr>
          <w:b w:val="0"/>
          <w:sz w:val="24"/>
          <w:szCs w:val="24"/>
        </w:rPr>
      </w:pPr>
    </w:p>
    <w:p>
      <w:pPr>
        <w:rPr>
          <w:b w:val="0"/>
          <w:sz w:val="24"/>
          <w:szCs w:val="24"/>
        </w:rPr>
      </w:pPr>
    </w:p>
    <w:p>
      <w:pPr>
        <w:rPr>
          <w:b w:val="0"/>
          <w:sz w:val="24"/>
          <w:szCs w:val="24"/>
        </w:rPr>
      </w:pPr>
    </w:p>
    <w:p>
      <w:pPr>
        <w:rPr>
          <w:b w:val="0"/>
          <w:sz w:val="24"/>
          <w:szCs w:val="24"/>
        </w:rPr>
      </w:pPr>
    </w:p>
    <w:p>
      <w:pPr>
        <w:rPr>
          <w:b w:val="0"/>
          <w:sz w:val="24"/>
          <w:szCs w:val="24"/>
        </w:rPr>
      </w:pPr>
    </w:p>
    <w:p>
      <w:pPr>
        <w:rPr>
          <w:b w:val="0"/>
          <w:sz w:val="24"/>
          <w:szCs w:val="24"/>
        </w:rPr>
      </w:pPr>
    </w:p>
    <w:p>
      <w:pPr>
        <w:rPr>
          <w:b w:val="0"/>
          <w:sz w:val="24"/>
          <w:szCs w:val="24"/>
        </w:rPr>
      </w:pPr>
    </w:p>
    <w:p>
      <w:pPr>
        <w:pStyle w:val="5"/>
        <w:jc w:val="center"/>
        <w:rPr>
          <w:rFonts w:ascii="时尚中黑简体" w:hAnsi="时尚中黑简体" w:eastAsia="时尚中黑简体"/>
          <w:bCs/>
          <w:color w:val="000000" w:themeColor="text1"/>
          <w14:textFill>
            <w14:solidFill>
              <w14:schemeClr w14:val="tx1"/>
            </w14:solidFill>
          </w14:textFill>
        </w:rPr>
        <w:sectPr>
          <w:pgSz w:w="11906" w:h="16838"/>
          <w:pgMar w:top="1440" w:right="1797" w:bottom="1440" w:left="1797" w:header="851" w:footer="992" w:gutter="0"/>
          <w:cols w:space="425" w:num="1"/>
          <w:docGrid w:type="lines" w:linePitch="312" w:charSpace="0"/>
        </w:sectPr>
      </w:pPr>
    </w:p>
    <w:p>
      <w:pPr>
        <w:pStyle w:val="5"/>
        <w:jc w:val="center"/>
        <w:rPr>
          <w:rFonts w:ascii="时尚中黑简体" w:hAnsi="时尚中黑简体" w:eastAsia="时尚中黑简体"/>
          <w:bCs/>
          <w:color w:val="000000" w:themeColor="text1"/>
          <w14:textFill>
            <w14:solidFill>
              <w14:schemeClr w14:val="tx1"/>
            </w14:solidFill>
          </w14:textFill>
        </w:rPr>
      </w:pPr>
      <w:r>
        <w:rPr>
          <w:rFonts w:hint="eastAsia" w:ascii="时尚中黑简体" w:hAnsi="时尚中黑简体" w:eastAsia="时尚中黑简体"/>
          <w:bCs/>
          <w:color w:val="000000" w:themeColor="text1"/>
          <w:lang w:eastAsia="zh-CN"/>
          <w14:textFill>
            <w14:solidFill>
              <w14:schemeClr w14:val="tx1"/>
            </w14:solidFill>
          </w14:textFill>
        </w:rPr>
        <w:t>西安牧源</w:t>
      </w:r>
      <w:r>
        <w:rPr>
          <w:rFonts w:hint="eastAsia" w:ascii="时尚中黑简体" w:hAnsi="时尚中黑简体" w:eastAsia="时尚中黑简体"/>
          <w:bCs/>
          <w:color w:val="000000" w:themeColor="text1"/>
          <w14:textFill>
            <w14:solidFill>
              <w14:schemeClr w14:val="tx1"/>
            </w14:solidFill>
          </w14:textFill>
        </w:rPr>
        <w:t>饲料有限公司</w:t>
      </w:r>
    </w:p>
    <w:p>
      <w:pPr>
        <w:jc w:val="center"/>
        <w:rPr>
          <w:sz w:val="24"/>
          <w:szCs w:val="24"/>
        </w:rPr>
      </w:pPr>
      <w:r>
        <w:rPr>
          <w:rFonts w:hint="eastAsia"/>
          <w:sz w:val="32"/>
          <w:szCs w:val="32"/>
        </w:rPr>
        <w:t>安全生产事故隐患排查治理统计分析表</w:t>
      </w:r>
    </w:p>
    <w:tbl>
      <w:tblPr>
        <w:tblStyle w:val="17"/>
        <w:tblW w:w="15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351"/>
        <w:gridCol w:w="1209"/>
        <w:gridCol w:w="1275"/>
        <w:gridCol w:w="1276"/>
        <w:gridCol w:w="3827"/>
        <w:gridCol w:w="1134"/>
        <w:gridCol w:w="1134"/>
        <w:gridCol w:w="993"/>
        <w:gridCol w:w="992"/>
        <w:gridCol w:w="1276"/>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69"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序号</w:t>
            </w:r>
          </w:p>
        </w:tc>
        <w:tc>
          <w:tcPr>
            <w:tcW w:w="1209"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隐患名称</w:t>
            </w:r>
          </w:p>
        </w:tc>
        <w:tc>
          <w:tcPr>
            <w:tcW w:w="1275"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检查日期</w:t>
            </w:r>
          </w:p>
        </w:tc>
        <w:tc>
          <w:tcPr>
            <w:tcW w:w="1276" w:type="dxa"/>
            <w:tcBorders>
              <w:top w:val="single" w:color="auto" w:sz="4" w:space="0"/>
              <w:left w:val="nil"/>
              <w:bottom w:val="single" w:color="auto" w:sz="4" w:space="0"/>
              <w:right w:val="single" w:color="auto" w:sz="4" w:space="0"/>
            </w:tcBorders>
            <w:vAlign w:val="center"/>
          </w:tcPr>
          <w:p>
            <w:pPr>
              <w:widowControl w:val="0"/>
              <w:spacing w:line="260" w:lineRule="exact"/>
              <w:jc w:val="center"/>
              <w:rPr>
                <w:sz w:val="24"/>
                <w:szCs w:val="24"/>
              </w:rPr>
            </w:pPr>
            <w:r>
              <w:rPr>
                <w:rFonts w:hint="eastAsia"/>
                <w:sz w:val="24"/>
                <w:szCs w:val="24"/>
              </w:rPr>
              <w:t>发现隐患的人员</w:t>
            </w:r>
          </w:p>
        </w:tc>
        <w:tc>
          <w:tcPr>
            <w:tcW w:w="3827"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整改措施</w:t>
            </w:r>
          </w:p>
        </w:tc>
        <w:tc>
          <w:tcPr>
            <w:tcW w:w="1134" w:type="dxa"/>
            <w:tcBorders>
              <w:top w:val="single" w:color="auto" w:sz="4" w:space="0"/>
              <w:left w:val="nil"/>
              <w:bottom w:val="single" w:color="auto" w:sz="4" w:space="0"/>
              <w:right w:val="single" w:color="auto" w:sz="4" w:space="0"/>
            </w:tcBorders>
            <w:vAlign w:val="center"/>
          </w:tcPr>
          <w:p>
            <w:pPr>
              <w:spacing w:line="260" w:lineRule="exact"/>
              <w:jc w:val="center"/>
              <w:rPr>
                <w:sz w:val="24"/>
                <w:szCs w:val="24"/>
              </w:rPr>
            </w:pPr>
            <w:r>
              <w:rPr>
                <w:rFonts w:hint="eastAsia"/>
                <w:sz w:val="24"/>
                <w:szCs w:val="24"/>
              </w:rPr>
              <w:t>计划完</w:t>
            </w:r>
          </w:p>
          <w:p>
            <w:pPr>
              <w:widowControl w:val="0"/>
              <w:spacing w:line="260" w:lineRule="exact"/>
              <w:jc w:val="center"/>
              <w:rPr>
                <w:sz w:val="24"/>
                <w:szCs w:val="24"/>
              </w:rPr>
            </w:pPr>
            <w:r>
              <w:rPr>
                <w:rFonts w:hint="eastAsia"/>
                <w:sz w:val="24"/>
                <w:szCs w:val="24"/>
              </w:rPr>
              <w:t>成日期</w:t>
            </w:r>
          </w:p>
        </w:tc>
        <w:tc>
          <w:tcPr>
            <w:tcW w:w="1134" w:type="dxa"/>
            <w:tcBorders>
              <w:top w:val="single" w:color="auto" w:sz="4" w:space="0"/>
              <w:left w:val="nil"/>
              <w:bottom w:val="single" w:color="auto" w:sz="4" w:space="0"/>
              <w:right w:val="single" w:color="auto" w:sz="4" w:space="0"/>
            </w:tcBorders>
            <w:vAlign w:val="center"/>
          </w:tcPr>
          <w:p>
            <w:pPr>
              <w:spacing w:line="260" w:lineRule="exact"/>
              <w:jc w:val="center"/>
              <w:rPr>
                <w:sz w:val="24"/>
                <w:szCs w:val="24"/>
              </w:rPr>
            </w:pPr>
            <w:r>
              <w:rPr>
                <w:rFonts w:hint="eastAsia"/>
                <w:sz w:val="24"/>
                <w:szCs w:val="24"/>
              </w:rPr>
              <w:t>实际完</w:t>
            </w:r>
          </w:p>
          <w:p>
            <w:pPr>
              <w:widowControl w:val="0"/>
              <w:spacing w:line="260" w:lineRule="exact"/>
              <w:jc w:val="center"/>
              <w:rPr>
                <w:sz w:val="24"/>
                <w:szCs w:val="24"/>
              </w:rPr>
            </w:pPr>
            <w:r>
              <w:rPr>
                <w:rFonts w:hint="eastAsia"/>
                <w:sz w:val="24"/>
                <w:szCs w:val="24"/>
              </w:rPr>
              <w:t>成日期</w:t>
            </w:r>
          </w:p>
        </w:tc>
        <w:tc>
          <w:tcPr>
            <w:tcW w:w="993" w:type="dxa"/>
            <w:tcBorders>
              <w:top w:val="single" w:color="auto" w:sz="4" w:space="0"/>
              <w:left w:val="nil"/>
              <w:bottom w:val="single" w:color="auto" w:sz="4" w:space="0"/>
              <w:right w:val="single" w:color="auto" w:sz="4" w:space="0"/>
            </w:tcBorders>
            <w:vAlign w:val="center"/>
          </w:tcPr>
          <w:p>
            <w:pPr>
              <w:spacing w:line="260" w:lineRule="exact"/>
              <w:jc w:val="center"/>
              <w:rPr>
                <w:sz w:val="24"/>
                <w:szCs w:val="24"/>
              </w:rPr>
            </w:pPr>
            <w:r>
              <w:rPr>
                <w:rFonts w:hint="eastAsia"/>
                <w:sz w:val="24"/>
                <w:szCs w:val="24"/>
              </w:rPr>
              <w:t>整改</w:t>
            </w:r>
          </w:p>
          <w:p>
            <w:pPr>
              <w:widowControl w:val="0"/>
              <w:spacing w:line="260" w:lineRule="exact"/>
              <w:jc w:val="center"/>
              <w:rPr>
                <w:sz w:val="24"/>
                <w:szCs w:val="24"/>
              </w:rPr>
            </w:pPr>
            <w:r>
              <w:rPr>
                <w:rFonts w:hint="eastAsia"/>
                <w:sz w:val="24"/>
                <w:szCs w:val="24"/>
              </w:rPr>
              <w:t>负责人</w:t>
            </w:r>
          </w:p>
        </w:tc>
        <w:tc>
          <w:tcPr>
            <w:tcW w:w="992"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复验人</w:t>
            </w:r>
          </w:p>
        </w:tc>
        <w:tc>
          <w:tcPr>
            <w:tcW w:w="1276" w:type="dxa"/>
            <w:tcBorders>
              <w:top w:val="single" w:color="auto" w:sz="4" w:space="0"/>
              <w:left w:val="nil"/>
              <w:bottom w:val="single" w:color="auto" w:sz="4" w:space="0"/>
              <w:right w:val="single" w:color="auto" w:sz="4" w:space="0"/>
            </w:tcBorders>
            <w:vAlign w:val="center"/>
          </w:tcPr>
          <w:p>
            <w:pPr>
              <w:widowControl w:val="0"/>
              <w:spacing w:line="260" w:lineRule="exact"/>
              <w:jc w:val="center"/>
              <w:rPr>
                <w:sz w:val="24"/>
                <w:szCs w:val="24"/>
              </w:rPr>
            </w:pPr>
            <w:r>
              <w:rPr>
                <w:rFonts w:hint="eastAsia"/>
                <w:sz w:val="24"/>
                <w:szCs w:val="24"/>
              </w:rPr>
              <w:t>未完成整改原因</w:t>
            </w:r>
          </w:p>
        </w:tc>
        <w:tc>
          <w:tcPr>
            <w:tcW w:w="1408" w:type="dxa"/>
            <w:tcBorders>
              <w:top w:val="single" w:color="auto" w:sz="4" w:space="0"/>
              <w:left w:val="nil"/>
              <w:bottom w:val="single" w:color="auto" w:sz="4" w:space="0"/>
              <w:right w:val="single" w:color="auto" w:sz="4" w:space="0"/>
            </w:tcBorders>
            <w:vAlign w:val="center"/>
          </w:tcPr>
          <w:p>
            <w:pPr>
              <w:widowControl w:val="0"/>
              <w:spacing w:line="260" w:lineRule="exact"/>
              <w:jc w:val="center"/>
              <w:rPr>
                <w:sz w:val="24"/>
                <w:szCs w:val="24"/>
              </w:rPr>
            </w:pPr>
            <w:r>
              <w:rPr>
                <w:rFonts w:hint="eastAsia"/>
                <w:sz w:val="24"/>
                <w:szCs w:val="24"/>
              </w:rPr>
              <w:t>采取的监控措施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18" w:type="dxa"/>
            <w:vMerge w:val="restart"/>
            <w:tcBorders>
              <w:top w:val="nil"/>
              <w:left w:val="single" w:color="auto" w:sz="4" w:space="0"/>
              <w:bottom w:val="single" w:color="auto" w:sz="4" w:space="0"/>
              <w:right w:val="single" w:color="auto" w:sz="4" w:space="0"/>
            </w:tcBorders>
            <w:vAlign w:val="center"/>
          </w:tcPr>
          <w:p>
            <w:pPr>
              <w:widowControl w:val="0"/>
              <w:spacing w:line="320" w:lineRule="exact"/>
              <w:jc w:val="both"/>
              <w:rPr>
                <w:sz w:val="24"/>
                <w:szCs w:val="24"/>
              </w:rPr>
            </w:pPr>
            <w:r>
              <w:rPr>
                <w:rFonts w:hint="eastAsia"/>
                <w:sz w:val="24"/>
                <w:szCs w:val="24"/>
              </w:rPr>
              <w:t>本月查出隐患</w:t>
            </w:r>
          </w:p>
        </w:tc>
        <w:tc>
          <w:tcPr>
            <w:tcW w:w="351"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1</w:t>
            </w:r>
          </w:p>
        </w:tc>
        <w:tc>
          <w:tcPr>
            <w:tcW w:w="1209"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5"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3827"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2"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408"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18" w:type="dxa"/>
            <w:vMerge w:val="continue"/>
            <w:tcBorders>
              <w:top w:val="nil"/>
              <w:left w:val="single" w:color="auto" w:sz="4" w:space="0"/>
              <w:bottom w:val="single" w:color="auto" w:sz="4" w:space="0"/>
              <w:right w:val="single" w:color="auto" w:sz="4" w:space="0"/>
            </w:tcBorders>
            <w:vAlign w:val="center"/>
          </w:tcPr>
          <w:p>
            <w:pPr>
              <w:rPr>
                <w:sz w:val="24"/>
                <w:szCs w:val="24"/>
              </w:rPr>
            </w:pPr>
          </w:p>
        </w:tc>
        <w:tc>
          <w:tcPr>
            <w:tcW w:w="351"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2</w:t>
            </w:r>
          </w:p>
        </w:tc>
        <w:tc>
          <w:tcPr>
            <w:tcW w:w="1209"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5"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3827"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2"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408"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18" w:type="dxa"/>
            <w:vMerge w:val="continue"/>
            <w:tcBorders>
              <w:top w:val="nil"/>
              <w:left w:val="single" w:color="auto" w:sz="4" w:space="0"/>
              <w:bottom w:val="single" w:color="auto" w:sz="4" w:space="0"/>
              <w:right w:val="single" w:color="auto" w:sz="4" w:space="0"/>
            </w:tcBorders>
            <w:vAlign w:val="center"/>
          </w:tcPr>
          <w:p>
            <w:pPr>
              <w:rPr>
                <w:sz w:val="24"/>
                <w:szCs w:val="24"/>
              </w:rPr>
            </w:pPr>
          </w:p>
        </w:tc>
        <w:tc>
          <w:tcPr>
            <w:tcW w:w="351"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3</w:t>
            </w:r>
          </w:p>
        </w:tc>
        <w:tc>
          <w:tcPr>
            <w:tcW w:w="1209"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5"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3827"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2"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408"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18" w:type="dxa"/>
            <w:vMerge w:val="continue"/>
            <w:tcBorders>
              <w:top w:val="nil"/>
              <w:left w:val="single" w:color="auto" w:sz="4" w:space="0"/>
              <w:bottom w:val="single" w:color="auto" w:sz="4" w:space="0"/>
              <w:right w:val="single" w:color="auto" w:sz="4" w:space="0"/>
            </w:tcBorders>
            <w:vAlign w:val="center"/>
          </w:tcPr>
          <w:p>
            <w:pPr>
              <w:rPr>
                <w:sz w:val="24"/>
                <w:szCs w:val="24"/>
              </w:rPr>
            </w:pPr>
          </w:p>
        </w:tc>
        <w:tc>
          <w:tcPr>
            <w:tcW w:w="351"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4</w:t>
            </w:r>
          </w:p>
        </w:tc>
        <w:tc>
          <w:tcPr>
            <w:tcW w:w="1209"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5"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3827"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2"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408"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18" w:type="dxa"/>
            <w:vMerge w:val="continue"/>
            <w:tcBorders>
              <w:top w:val="nil"/>
              <w:left w:val="single" w:color="auto" w:sz="4" w:space="0"/>
              <w:bottom w:val="single" w:color="auto" w:sz="4" w:space="0"/>
              <w:right w:val="single" w:color="auto" w:sz="4" w:space="0"/>
            </w:tcBorders>
            <w:vAlign w:val="center"/>
          </w:tcPr>
          <w:p>
            <w:pPr>
              <w:rPr>
                <w:sz w:val="24"/>
                <w:szCs w:val="24"/>
              </w:rPr>
            </w:pPr>
          </w:p>
        </w:tc>
        <w:tc>
          <w:tcPr>
            <w:tcW w:w="351"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5</w:t>
            </w:r>
          </w:p>
        </w:tc>
        <w:tc>
          <w:tcPr>
            <w:tcW w:w="1209"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5"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3827"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2"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408"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18" w:type="dxa"/>
            <w:vMerge w:val="continue"/>
            <w:tcBorders>
              <w:top w:val="nil"/>
              <w:left w:val="single" w:color="auto" w:sz="4" w:space="0"/>
              <w:bottom w:val="single" w:color="auto" w:sz="4" w:space="0"/>
              <w:right w:val="single" w:color="auto" w:sz="4" w:space="0"/>
            </w:tcBorders>
            <w:vAlign w:val="center"/>
          </w:tcPr>
          <w:p>
            <w:pPr>
              <w:rPr>
                <w:sz w:val="24"/>
                <w:szCs w:val="24"/>
              </w:rPr>
            </w:pPr>
          </w:p>
        </w:tc>
        <w:tc>
          <w:tcPr>
            <w:tcW w:w="351"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6</w:t>
            </w:r>
          </w:p>
        </w:tc>
        <w:tc>
          <w:tcPr>
            <w:tcW w:w="1209"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5"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3827"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2"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408"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18" w:type="dxa"/>
            <w:vMerge w:val="restart"/>
            <w:tcBorders>
              <w:top w:val="nil"/>
              <w:left w:val="single" w:color="auto" w:sz="4" w:space="0"/>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本月前发现隐患</w:t>
            </w:r>
          </w:p>
        </w:tc>
        <w:tc>
          <w:tcPr>
            <w:tcW w:w="351"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1</w:t>
            </w:r>
          </w:p>
        </w:tc>
        <w:tc>
          <w:tcPr>
            <w:tcW w:w="1209" w:type="dxa"/>
            <w:tcBorders>
              <w:top w:val="single" w:color="auto" w:sz="4" w:space="0"/>
              <w:left w:val="nil"/>
              <w:bottom w:val="single" w:color="auto" w:sz="4" w:space="0"/>
              <w:right w:val="single" w:color="auto" w:sz="4" w:space="0"/>
            </w:tcBorders>
            <w:vAlign w:val="center"/>
          </w:tcPr>
          <w:p>
            <w:pPr>
              <w:widowControl w:val="0"/>
              <w:spacing w:line="320" w:lineRule="exact"/>
              <w:jc w:val="center"/>
              <w:rPr>
                <w:rFonts w:ascii="Courier New" w:hAnsi="Courier New"/>
                <w:sz w:val="24"/>
                <w:szCs w:val="24"/>
              </w:rPr>
            </w:pPr>
          </w:p>
        </w:tc>
        <w:tc>
          <w:tcPr>
            <w:tcW w:w="1275"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3827" w:type="dxa"/>
            <w:tcBorders>
              <w:top w:val="single" w:color="auto" w:sz="4" w:space="0"/>
              <w:left w:val="nil"/>
              <w:bottom w:val="single" w:color="auto" w:sz="4" w:space="0"/>
              <w:right w:val="single" w:color="auto" w:sz="4" w:space="0"/>
            </w:tcBorders>
            <w:vAlign w:val="center"/>
          </w:tcPr>
          <w:p>
            <w:pPr>
              <w:widowControl w:val="0"/>
              <w:spacing w:line="320" w:lineRule="exact"/>
              <w:jc w:val="center"/>
              <w:rPr>
                <w:rFonts w:ascii="Courier New" w:hAnsi="Courier New"/>
                <w:color w:val="000000"/>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2"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408"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18" w:type="dxa"/>
            <w:vMerge w:val="continue"/>
            <w:tcBorders>
              <w:top w:val="nil"/>
              <w:left w:val="single" w:color="auto" w:sz="4" w:space="0"/>
              <w:bottom w:val="single" w:color="auto" w:sz="4" w:space="0"/>
              <w:right w:val="single" w:color="auto" w:sz="4" w:space="0"/>
            </w:tcBorders>
            <w:vAlign w:val="center"/>
          </w:tcPr>
          <w:p>
            <w:pPr>
              <w:rPr>
                <w:sz w:val="24"/>
                <w:szCs w:val="24"/>
              </w:rPr>
            </w:pPr>
          </w:p>
        </w:tc>
        <w:tc>
          <w:tcPr>
            <w:tcW w:w="351"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2</w:t>
            </w:r>
          </w:p>
        </w:tc>
        <w:tc>
          <w:tcPr>
            <w:tcW w:w="1209" w:type="dxa"/>
            <w:tcBorders>
              <w:top w:val="single" w:color="auto" w:sz="4" w:space="0"/>
              <w:left w:val="nil"/>
              <w:bottom w:val="single" w:color="auto" w:sz="4" w:space="0"/>
              <w:right w:val="single" w:color="auto" w:sz="4" w:space="0"/>
            </w:tcBorders>
            <w:vAlign w:val="center"/>
          </w:tcPr>
          <w:p>
            <w:pPr>
              <w:widowControl w:val="0"/>
              <w:spacing w:line="320" w:lineRule="exact"/>
              <w:jc w:val="center"/>
              <w:rPr>
                <w:rFonts w:ascii="Courier New" w:hAnsi="Courier New"/>
                <w:sz w:val="24"/>
                <w:szCs w:val="24"/>
              </w:rPr>
            </w:pPr>
          </w:p>
        </w:tc>
        <w:tc>
          <w:tcPr>
            <w:tcW w:w="1275"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3827" w:type="dxa"/>
            <w:tcBorders>
              <w:top w:val="single" w:color="auto" w:sz="4" w:space="0"/>
              <w:left w:val="nil"/>
              <w:bottom w:val="single" w:color="auto" w:sz="4" w:space="0"/>
              <w:right w:val="single" w:color="auto" w:sz="4" w:space="0"/>
            </w:tcBorders>
            <w:vAlign w:val="center"/>
          </w:tcPr>
          <w:p>
            <w:pPr>
              <w:widowControl w:val="0"/>
              <w:spacing w:line="320" w:lineRule="exact"/>
              <w:jc w:val="center"/>
              <w:rPr>
                <w:rFonts w:ascii="Courier New" w:hAnsi="Courier New"/>
                <w:color w:val="000000"/>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2"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408"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18" w:type="dxa"/>
            <w:vMerge w:val="continue"/>
            <w:tcBorders>
              <w:top w:val="nil"/>
              <w:left w:val="single" w:color="auto" w:sz="4" w:space="0"/>
              <w:bottom w:val="single" w:color="auto" w:sz="4" w:space="0"/>
              <w:right w:val="single" w:color="auto" w:sz="4" w:space="0"/>
            </w:tcBorders>
            <w:vAlign w:val="center"/>
          </w:tcPr>
          <w:p>
            <w:pPr>
              <w:rPr>
                <w:sz w:val="24"/>
                <w:szCs w:val="24"/>
              </w:rPr>
            </w:pPr>
          </w:p>
        </w:tc>
        <w:tc>
          <w:tcPr>
            <w:tcW w:w="351"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09" w:type="dxa"/>
            <w:tcBorders>
              <w:top w:val="single" w:color="auto" w:sz="4" w:space="0"/>
              <w:left w:val="nil"/>
              <w:bottom w:val="single" w:color="auto" w:sz="4" w:space="0"/>
              <w:right w:val="single" w:color="auto" w:sz="4" w:space="0"/>
            </w:tcBorders>
            <w:vAlign w:val="center"/>
          </w:tcPr>
          <w:p>
            <w:pPr>
              <w:widowControl w:val="0"/>
              <w:spacing w:line="320" w:lineRule="exact"/>
              <w:jc w:val="center"/>
              <w:rPr>
                <w:rFonts w:ascii="Courier New" w:hAnsi="Courier New"/>
                <w:sz w:val="24"/>
                <w:szCs w:val="24"/>
              </w:rPr>
            </w:pPr>
          </w:p>
        </w:tc>
        <w:tc>
          <w:tcPr>
            <w:tcW w:w="1275"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3827" w:type="dxa"/>
            <w:tcBorders>
              <w:top w:val="single" w:color="auto" w:sz="4" w:space="0"/>
              <w:left w:val="nil"/>
              <w:bottom w:val="single" w:color="auto" w:sz="4" w:space="0"/>
              <w:right w:val="single" w:color="auto" w:sz="4" w:space="0"/>
            </w:tcBorders>
            <w:vAlign w:val="center"/>
          </w:tcPr>
          <w:p>
            <w:pPr>
              <w:widowControl w:val="0"/>
              <w:spacing w:line="320" w:lineRule="exact"/>
              <w:jc w:val="center"/>
              <w:rPr>
                <w:rFonts w:ascii="Courier New" w:hAnsi="Courier New"/>
                <w:color w:val="000000"/>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2"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408"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18" w:type="dxa"/>
            <w:vMerge w:val="continue"/>
            <w:tcBorders>
              <w:top w:val="nil"/>
              <w:left w:val="single" w:color="auto" w:sz="4" w:space="0"/>
              <w:bottom w:val="single" w:color="auto" w:sz="4" w:space="0"/>
              <w:right w:val="single" w:color="auto" w:sz="4" w:space="0"/>
            </w:tcBorders>
            <w:vAlign w:val="center"/>
          </w:tcPr>
          <w:p>
            <w:pPr>
              <w:rPr>
                <w:sz w:val="24"/>
                <w:szCs w:val="24"/>
              </w:rPr>
            </w:pPr>
          </w:p>
        </w:tc>
        <w:tc>
          <w:tcPr>
            <w:tcW w:w="351"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3</w:t>
            </w:r>
          </w:p>
        </w:tc>
        <w:tc>
          <w:tcPr>
            <w:tcW w:w="1209" w:type="dxa"/>
            <w:tcBorders>
              <w:top w:val="single" w:color="auto" w:sz="4" w:space="0"/>
              <w:left w:val="nil"/>
              <w:bottom w:val="single" w:color="auto" w:sz="4" w:space="0"/>
              <w:right w:val="single" w:color="auto" w:sz="4" w:space="0"/>
            </w:tcBorders>
            <w:vAlign w:val="center"/>
          </w:tcPr>
          <w:p>
            <w:pPr>
              <w:widowControl w:val="0"/>
              <w:spacing w:line="320" w:lineRule="exact"/>
              <w:jc w:val="center"/>
              <w:rPr>
                <w:rFonts w:ascii="Courier New" w:hAnsi="Courier New"/>
                <w:sz w:val="24"/>
                <w:szCs w:val="24"/>
              </w:rPr>
            </w:pPr>
          </w:p>
        </w:tc>
        <w:tc>
          <w:tcPr>
            <w:tcW w:w="1275"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3827" w:type="dxa"/>
            <w:tcBorders>
              <w:top w:val="single" w:color="auto" w:sz="4" w:space="0"/>
              <w:left w:val="nil"/>
              <w:bottom w:val="single" w:color="auto" w:sz="4" w:space="0"/>
              <w:right w:val="single" w:color="auto" w:sz="4" w:space="0"/>
            </w:tcBorders>
            <w:vAlign w:val="center"/>
          </w:tcPr>
          <w:p>
            <w:pPr>
              <w:widowControl w:val="0"/>
              <w:spacing w:line="320" w:lineRule="exact"/>
              <w:jc w:val="center"/>
              <w:rPr>
                <w:rFonts w:ascii="Courier New" w:hAnsi="Courier New"/>
                <w:color w:val="000000"/>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2"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408"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18" w:type="dxa"/>
            <w:vMerge w:val="continue"/>
            <w:tcBorders>
              <w:top w:val="nil"/>
              <w:left w:val="single" w:color="auto" w:sz="4" w:space="0"/>
              <w:bottom w:val="single" w:color="auto" w:sz="4" w:space="0"/>
              <w:right w:val="single" w:color="auto" w:sz="4" w:space="0"/>
            </w:tcBorders>
            <w:vAlign w:val="center"/>
          </w:tcPr>
          <w:p>
            <w:pPr>
              <w:rPr>
                <w:sz w:val="24"/>
                <w:szCs w:val="24"/>
              </w:rPr>
            </w:pPr>
          </w:p>
        </w:tc>
        <w:tc>
          <w:tcPr>
            <w:tcW w:w="351"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r>
              <w:rPr>
                <w:rFonts w:hint="eastAsia"/>
                <w:sz w:val="24"/>
                <w:szCs w:val="24"/>
              </w:rPr>
              <w:t>4</w:t>
            </w:r>
          </w:p>
        </w:tc>
        <w:tc>
          <w:tcPr>
            <w:tcW w:w="1209" w:type="dxa"/>
            <w:tcBorders>
              <w:top w:val="single" w:color="auto" w:sz="4" w:space="0"/>
              <w:left w:val="nil"/>
              <w:bottom w:val="single" w:color="auto" w:sz="4" w:space="0"/>
              <w:right w:val="single" w:color="auto" w:sz="4" w:space="0"/>
            </w:tcBorders>
            <w:vAlign w:val="center"/>
          </w:tcPr>
          <w:p>
            <w:pPr>
              <w:widowControl w:val="0"/>
              <w:spacing w:line="320" w:lineRule="exact"/>
              <w:jc w:val="center"/>
              <w:rPr>
                <w:rFonts w:ascii="Courier New" w:hAnsi="Courier New"/>
                <w:sz w:val="24"/>
                <w:szCs w:val="24"/>
              </w:rPr>
            </w:pPr>
          </w:p>
        </w:tc>
        <w:tc>
          <w:tcPr>
            <w:tcW w:w="1275"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3827" w:type="dxa"/>
            <w:tcBorders>
              <w:top w:val="single" w:color="auto" w:sz="4" w:space="0"/>
              <w:left w:val="nil"/>
              <w:bottom w:val="single" w:color="auto" w:sz="4" w:space="0"/>
              <w:right w:val="single" w:color="auto" w:sz="4" w:space="0"/>
            </w:tcBorders>
            <w:vAlign w:val="center"/>
          </w:tcPr>
          <w:p>
            <w:pPr>
              <w:widowControl w:val="0"/>
              <w:spacing w:line="320" w:lineRule="exact"/>
              <w:jc w:val="center"/>
              <w:rPr>
                <w:rFonts w:ascii="Courier New" w:hAnsi="Courier New"/>
                <w:color w:val="000000"/>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134"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3"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992"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276"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c>
          <w:tcPr>
            <w:tcW w:w="1408" w:type="dxa"/>
            <w:tcBorders>
              <w:top w:val="single" w:color="auto" w:sz="4" w:space="0"/>
              <w:left w:val="nil"/>
              <w:bottom w:val="single" w:color="auto" w:sz="4" w:space="0"/>
              <w:right w:val="single" w:color="auto" w:sz="4" w:space="0"/>
            </w:tcBorders>
            <w:vAlign w:val="center"/>
          </w:tcPr>
          <w:p>
            <w:pPr>
              <w:widowControl w:val="0"/>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5793" w:type="dxa"/>
            <w:gridSpan w:val="12"/>
            <w:tcBorders>
              <w:top w:val="single" w:color="auto" w:sz="4" w:space="0"/>
              <w:left w:val="single" w:color="auto" w:sz="4" w:space="0"/>
              <w:bottom w:val="single" w:color="auto" w:sz="4" w:space="0"/>
              <w:right w:val="single" w:color="auto" w:sz="4" w:space="0"/>
            </w:tcBorders>
            <w:vAlign w:val="center"/>
          </w:tcPr>
          <w:p>
            <w:pPr>
              <w:widowControl w:val="0"/>
              <w:spacing w:line="320" w:lineRule="exact"/>
              <w:jc w:val="both"/>
              <w:rPr>
                <w:sz w:val="24"/>
                <w:szCs w:val="24"/>
              </w:rPr>
            </w:pPr>
            <w:r>
              <w:rPr>
                <w:rFonts w:hint="eastAsia"/>
                <w:sz w:val="24"/>
                <w:szCs w:val="24"/>
              </w:rPr>
              <w:t>本月查出隐患</w:t>
            </w:r>
            <w:r>
              <w:rPr>
                <w:rFonts w:hint="eastAsia"/>
                <w:sz w:val="24"/>
                <w:szCs w:val="24"/>
                <w:u w:val="single"/>
              </w:rPr>
              <w:t xml:space="preserve">   </w:t>
            </w:r>
            <w:r>
              <w:rPr>
                <w:rFonts w:hint="eastAsia"/>
                <w:sz w:val="24"/>
                <w:szCs w:val="24"/>
              </w:rPr>
              <w:t>项，其中本单位自查出</w:t>
            </w:r>
            <w:r>
              <w:rPr>
                <w:rFonts w:hint="eastAsia"/>
                <w:sz w:val="24"/>
                <w:szCs w:val="24"/>
                <w:u w:val="single"/>
              </w:rPr>
              <w:t xml:space="preserve">   </w:t>
            </w:r>
            <w:r>
              <w:rPr>
                <w:rFonts w:hint="eastAsia"/>
                <w:sz w:val="24"/>
                <w:szCs w:val="24"/>
              </w:rPr>
              <w:t>项，隐患自查率</w:t>
            </w:r>
            <w:r>
              <w:rPr>
                <w:rFonts w:hint="eastAsia"/>
                <w:sz w:val="24"/>
                <w:szCs w:val="24"/>
                <w:u w:val="single"/>
              </w:rPr>
              <w:t xml:space="preserve">     </w:t>
            </w:r>
            <w:r>
              <w:rPr>
                <w:rFonts w:hint="eastAsia"/>
                <w:sz w:val="24"/>
                <w:szCs w:val="24"/>
              </w:rPr>
              <w:t xml:space="preserve"> %；本月应整改隐患</w:t>
            </w:r>
            <w:r>
              <w:rPr>
                <w:rFonts w:hint="eastAsia"/>
                <w:sz w:val="24"/>
                <w:szCs w:val="24"/>
                <w:u w:val="single"/>
              </w:rPr>
              <w:t xml:space="preserve">    </w:t>
            </w:r>
            <w:r>
              <w:rPr>
                <w:rFonts w:hint="eastAsia"/>
                <w:sz w:val="24"/>
                <w:szCs w:val="24"/>
              </w:rPr>
              <w:t>项，实际整改合格</w:t>
            </w:r>
            <w:r>
              <w:rPr>
                <w:rFonts w:hint="eastAsia"/>
                <w:sz w:val="24"/>
                <w:szCs w:val="24"/>
                <w:u w:val="single"/>
              </w:rPr>
              <w:t xml:space="preserve">    </w:t>
            </w:r>
            <w:r>
              <w:rPr>
                <w:rFonts w:hint="eastAsia"/>
                <w:sz w:val="24"/>
                <w:szCs w:val="24"/>
              </w:rPr>
              <w:t xml:space="preserve">项，隐患整改率 </w:t>
            </w:r>
            <w:r>
              <w:rPr>
                <w:rFonts w:hint="eastAsia"/>
                <w:sz w:val="24"/>
                <w:szCs w:val="24"/>
                <w:u w:val="single"/>
              </w:rPr>
              <w:t xml:space="preserve">      </w:t>
            </w:r>
            <w:r>
              <w:rPr>
                <w:rFonts w:hint="eastAsia"/>
                <w:sz w:val="24"/>
                <w:szCs w:val="24"/>
              </w:rPr>
              <w:t>%。</w:t>
            </w:r>
          </w:p>
        </w:tc>
      </w:tr>
    </w:tbl>
    <w:p>
      <w:pPr>
        <w:rPr>
          <w:b w:val="0"/>
          <w:sz w:val="24"/>
          <w:szCs w:val="24"/>
        </w:rPr>
      </w:pPr>
    </w:p>
    <w:p>
      <w:pPr>
        <w:pStyle w:val="5"/>
        <w:jc w:val="center"/>
        <w:rPr>
          <w:rFonts w:ascii="时尚中黑简体" w:hAnsi="时尚中黑简体" w:eastAsia="时尚中黑简体"/>
          <w:bCs/>
          <w:color w:val="000000" w:themeColor="text1"/>
          <w14:textFill>
            <w14:solidFill>
              <w14:schemeClr w14:val="tx1"/>
            </w14:solidFill>
          </w14:textFill>
        </w:rPr>
        <w:sectPr>
          <w:pgSz w:w="16838" w:h="11906" w:orient="landscape"/>
          <w:pgMar w:top="1797" w:right="1440" w:bottom="1797" w:left="1440" w:header="851" w:footer="992" w:gutter="0"/>
          <w:cols w:space="425" w:num="1"/>
          <w:docGrid w:type="linesAndChars" w:linePitch="312" w:charSpace="0"/>
        </w:sectPr>
      </w:pPr>
    </w:p>
    <w:p>
      <w:pPr>
        <w:jc w:val="center"/>
        <w:rPr>
          <w:b w:val="0"/>
          <w:sz w:val="24"/>
          <w:szCs w:val="24"/>
        </w:rPr>
      </w:pPr>
      <w:bookmarkStart w:id="0" w:name="_GoBack"/>
      <w:bookmarkEnd w:id="0"/>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时尚中黑简体">
    <w:panose1 w:val="01010104010101010101"/>
    <w:charset w:val="86"/>
    <w:family w:val="auto"/>
    <w:pitch w:val="default"/>
    <w:sig w:usb0="800002BF" w:usb1="184F6CF8" w:usb2="00000012" w:usb3="00000000" w:csb0="00040001" w:csb1="00000000"/>
  </w:font>
  <w:font w:name="等线">
    <w:altName w:val="Times New Roman"/>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仿宋_GB2312">
    <w:altName w:val="Arial Unicode MS"/>
    <w:panose1 w:val="00000000000000000000"/>
    <w:charset w:val="00"/>
    <w:family w:val="auto"/>
    <w:pitch w:val="default"/>
    <w:sig w:usb0="00000000" w:usb1="00000000" w:usb2="00000000" w:usb3="00000000" w:csb0="00000000" w:csb1="00000000"/>
  </w:font>
  <w:font w:name="MingLiU">
    <w:panose1 w:val="02020509000000000000"/>
    <w:charset w:val="88"/>
    <w:family w:val="modern"/>
    <w:pitch w:val="default"/>
    <w:sig w:usb0="A00002FF" w:usb1="28CFFCFA" w:usb2="00000016" w:usb3="00000000" w:csb0="00100001" w:csb1="00000000"/>
  </w:font>
  <w:font w:name="PMingLiU">
    <w:panose1 w:val="02020500000000000000"/>
    <w:charset w:val="88"/>
    <w:family w:val="roman"/>
    <w:pitch w:val="default"/>
    <w:sig w:usb0="A00002FF" w:usb1="28CFFCFA" w:usb2="00000016" w:usb3="00000000" w:csb0="00100001" w:csb1="00000000"/>
  </w:font>
  <w:font w:name="仿宋">
    <w:altName w:val="MS Gothic"/>
    <w:panose1 w:val="02010609060101010101"/>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C5954"/>
    <w:multiLevelType w:val="multilevel"/>
    <w:tmpl w:val="136C5954"/>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313C0E80"/>
    <w:multiLevelType w:val="multilevel"/>
    <w:tmpl w:val="313C0E80"/>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445B1798"/>
    <w:multiLevelType w:val="multilevel"/>
    <w:tmpl w:val="445B1798"/>
    <w:lvl w:ilvl="0" w:tentative="0">
      <w:start w:val="4"/>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120"/>
    <w:rsid w:val="0001667A"/>
    <w:rsid w:val="0002010F"/>
    <w:rsid w:val="000866D2"/>
    <w:rsid w:val="000C60F1"/>
    <w:rsid w:val="000F6DF8"/>
    <w:rsid w:val="00104461"/>
    <w:rsid w:val="00133CCC"/>
    <w:rsid w:val="00172ADC"/>
    <w:rsid w:val="00193392"/>
    <w:rsid w:val="001B5EB2"/>
    <w:rsid w:val="001C5364"/>
    <w:rsid w:val="001D732E"/>
    <w:rsid w:val="00202C48"/>
    <w:rsid w:val="002B2A31"/>
    <w:rsid w:val="002D18CF"/>
    <w:rsid w:val="002F568A"/>
    <w:rsid w:val="0031678D"/>
    <w:rsid w:val="00321502"/>
    <w:rsid w:val="003233D1"/>
    <w:rsid w:val="003475AA"/>
    <w:rsid w:val="00390078"/>
    <w:rsid w:val="00391B59"/>
    <w:rsid w:val="003A4947"/>
    <w:rsid w:val="003A49CE"/>
    <w:rsid w:val="003D1301"/>
    <w:rsid w:val="003E73D1"/>
    <w:rsid w:val="0041585D"/>
    <w:rsid w:val="0043197A"/>
    <w:rsid w:val="0043458D"/>
    <w:rsid w:val="00446F31"/>
    <w:rsid w:val="004A4355"/>
    <w:rsid w:val="004B7BB9"/>
    <w:rsid w:val="00502E07"/>
    <w:rsid w:val="0051154F"/>
    <w:rsid w:val="00520869"/>
    <w:rsid w:val="00542D02"/>
    <w:rsid w:val="0057274E"/>
    <w:rsid w:val="005825C8"/>
    <w:rsid w:val="005D6B1A"/>
    <w:rsid w:val="005F0846"/>
    <w:rsid w:val="006175C5"/>
    <w:rsid w:val="00656710"/>
    <w:rsid w:val="00666CC3"/>
    <w:rsid w:val="006A1282"/>
    <w:rsid w:val="006D76D4"/>
    <w:rsid w:val="006E17AE"/>
    <w:rsid w:val="006E54EA"/>
    <w:rsid w:val="006E5FBC"/>
    <w:rsid w:val="0073009A"/>
    <w:rsid w:val="008205E8"/>
    <w:rsid w:val="008C06F5"/>
    <w:rsid w:val="008C2323"/>
    <w:rsid w:val="009168D4"/>
    <w:rsid w:val="00921A5B"/>
    <w:rsid w:val="009574C9"/>
    <w:rsid w:val="009D1A58"/>
    <w:rsid w:val="009E2894"/>
    <w:rsid w:val="009F5120"/>
    <w:rsid w:val="00A0383F"/>
    <w:rsid w:val="00A575B8"/>
    <w:rsid w:val="00AA52EB"/>
    <w:rsid w:val="00AF1BB9"/>
    <w:rsid w:val="00B1409A"/>
    <w:rsid w:val="00B309AC"/>
    <w:rsid w:val="00B70252"/>
    <w:rsid w:val="00B8277D"/>
    <w:rsid w:val="00B869DD"/>
    <w:rsid w:val="00C471D5"/>
    <w:rsid w:val="00C80C5C"/>
    <w:rsid w:val="00C84E61"/>
    <w:rsid w:val="00CB6935"/>
    <w:rsid w:val="00D05043"/>
    <w:rsid w:val="00D07E23"/>
    <w:rsid w:val="00D120A4"/>
    <w:rsid w:val="00D22578"/>
    <w:rsid w:val="00D421C9"/>
    <w:rsid w:val="00D87421"/>
    <w:rsid w:val="00DB1B14"/>
    <w:rsid w:val="00DF57A5"/>
    <w:rsid w:val="00E011DC"/>
    <w:rsid w:val="00E2339B"/>
    <w:rsid w:val="00E30535"/>
    <w:rsid w:val="00EF5247"/>
    <w:rsid w:val="00F273B4"/>
    <w:rsid w:val="00F32A6C"/>
    <w:rsid w:val="00F70929"/>
    <w:rsid w:val="00FD2D96"/>
    <w:rsid w:val="00FE2991"/>
    <w:rsid w:val="00FE4BB2"/>
    <w:rsid w:val="00FF10CE"/>
    <w:rsid w:val="1629227F"/>
    <w:rsid w:val="284C108C"/>
    <w:rsid w:val="2A7D7C33"/>
    <w:rsid w:val="2E194079"/>
    <w:rsid w:val="32361B5D"/>
    <w:rsid w:val="40334993"/>
    <w:rsid w:val="41C35A37"/>
    <w:rsid w:val="47E108D0"/>
    <w:rsid w:val="7FC20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semiHidden="0"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b/>
      <w:bCs/>
      <w:kern w:val="2"/>
      <w:sz w:val="40"/>
      <w:szCs w:val="40"/>
      <w:lang w:val="en-US" w:eastAsia="zh-CN" w:bidi="ar-SA"/>
    </w:rPr>
  </w:style>
  <w:style w:type="paragraph" w:styleId="2">
    <w:name w:val="heading 1"/>
    <w:basedOn w:val="1"/>
    <w:next w:val="1"/>
    <w:link w:val="22"/>
    <w:qFormat/>
    <w:uiPriority w:val="99"/>
    <w:pPr>
      <w:keepNext/>
      <w:keepLines/>
      <w:adjustRightInd w:val="0"/>
      <w:spacing w:after="100" w:afterAutospacing="1" w:line="360" w:lineRule="auto"/>
      <w:textAlignment w:val="baseline"/>
      <w:outlineLvl w:val="0"/>
    </w:pPr>
    <w:rPr>
      <w:kern w:val="44"/>
      <w:sz w:val="30"/>
      <w:szCs w:val="30"/>
    </w:rPr>
  </w:style>
  <w:style w:type="paragraph" w:styleId="3">
    <w:name w:val="heading 2"/>
    <w:basedOn w:val="1"/>
    <w:next w:val="1"/>
    <w:link w:val="23"/>
    <w:qFormat/>
    <w:uiPriority w:val="99"/>
    <w:pPr>
      <w:keepNext/>
      <w:keepLines/>
      <w:spacing w:after="100" w:afterAutospacing="1" w:line="360" w:lineRule="auto"/>
      <w:outlineLvl w:val="1"/>
    </w:pPr>
    <w:rPr>
      <w:rFonts w:ascii="Arial" w:hAnsi="Arial"/>
      <w:sz w:val="28"/>
      <w:szCs w:val="28"/>
    </w:rPr>
  </w:style>
  <w:style w:type="paragraph" w:styleId="4">
    <w:name w:val="heading 3"/>
    <w:basedOn w:val="1"/>
    <w:next w:val="1"/>
    <w:link w:val="24"/>
    <w:qFormat/>
    <w:uiPriority w:val="99"/>
    <w:pPr>
      <w:keepNext/>
      <w:keepLines/>
      <w:spacing w:after="100" w:afterAutospacing="1" w:line="360" w:lineRule="auto"/>
      <w:outlineLvl w:val="2"/>
    </w:pPr>
    <w:rPr>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30"/>
    <w:unhideWhenUsed/>
    <w:qFormat/>
    <w:uiPriority w:val="99"/>
    <w:pPr>
      <w:widowControl w:val="0"/>
      <w:jc w:val="both"/>
    </w:pPr>
    <w:rPr>
      <w:rFonts w:ascii="Times New Roman" w:hAnsi="Times New Roman" w:cs="Times New Roman"/>
      <w:b w:val="0"/>
      <w:bCs w:val="0"/>
      <w:sz w:val="44"/>
      <w:szCs w:val="44"/>
    </w:rPr>
  </w:style>
  <w:style w:type="paragraph" w:styleId="6">
    <w:name w:val="Body Text Indent"/>
    <w:basedOn w:val="1"/>
    <w:link w:val="31"/>
    <w:semiHidden/>
    <w:unhideWhenUsed/>
    <w:qFormat/>
    <w:uiPriority w:val="99"/>
    <w:pPr>
      <w:spacing w:after="120"/>
      <w:ind w:left="420" w:leftChars="200"/>
    </w:pPr>
  </w:style>
  <w:style w:type="paragraph" w:styleId="7">
    <w:name w:val="toc 3"/>
    <w:basedOn w:val="1"/>
    <w:next w:val="1"/>
    <w:unhideWhenUsed/>
    <w:qFormat/>
    <w:uiPriority w:val="99"/>
    <w:pPr>
      <w:spacing w:after="100" w:afterAutospacing="1" w:line="360" w:lineRule="auto"/>
      <w:ind w:left="340"/>
    </w:pPr>
    <w:rPr>
      <w:b w:val="0"/>
      <w:bCs w:val="0"/>
      <w:sz w:val="21"/>
      <w:szCs w:val="21"/>
    </w:rPr>
  </w:style>
  <w:style w:type="paragraph" w:styleId="8">
    <w:name w:val="Plain Text"/>
    <w:basedOn w:val="1"/>
    <w:link w:val="26"/>
    <w:unhideWhenUsed/>
    <w:qFormat/>
    <w:uiPriority w:val="99"/>
    <w:pPr>
      <w:spacing w:beforeLines="50" w:after="100" w:afterAutospacing="1" w:line="400" w:lineRule="exact"/>
    </w:pPr>
    <w:rPr>
      <w:rFonts w:hAnsi="Courier New"/>
      <w:sz w:val="52"/>
      <w:szCs w:val="52"/>
    </w:rPr>
  </w:style>
  <w:style w:type="paragraph" w:styleId="9">
    <w:name w:val="Date"/>
    <w:basedOn w:val="1"/>
    <w:next w:val="1"/>
    <w:link w:val="29"/>
    <w:semiHidden/>
    <w:unhideWhenUsed/>
    <w:qFormat/>
    <w:uiPriority w:val="99"/>
    <w:pPr>
      <w:ind w:left="100" w:leftChars="2500"/>
    </w:pPr>
  </w:style>
  <w:style w:type="paragraph" w:styleId="10">
    <w:name w:val="Body Text Indent 2"/>
    <w:basedOn w:val="1"/>
    <w:link w:val="37"/>
    <w:semiHidden/>
    <w:unhideWhenUsed/>
    <w:qFormat/>
    <w:uiPriority w:val="99"/>
    <w:pPr>
      <w:spacing w:after="120" w:line="480" w:lineRule="auto"/>
      <w:ind w:left="420" w:leftChars="200"/>
    </w:pPr>
  </w:style>
  <w:style w:type="paragraph" w:styleId="11">
    <w:name w:val="Balloon Text"/>
    <w:basedOn w:val="1"/>
    <w:link w:val="28"/>
    <w:semiHidden/>
    <w:unhideWhenUsed/>
    <w:qFormat/>
    <w:uiPriority w:val="99"/>
    <w:rPr>
      <w:sz w:val="18"/>
      <w:szCs w:val="18"/>
    </w:rPr>
  </w:style>
  <w:style w:type="paragraph" w:styleId="12">
    <w:name w:val="footer"/>
    <w:basedOn w:val="1"/>
    <w:link w:val="34"/>
    <w:unhideWhenUsed/>
    <w:qFormat/>
    <w:uiPriority w:val="99"/>
    <w:pPr>
      <w:adjustRightInd w:val="0"/>
      <w:snapToGrid w:val="0"/>
      <w:spacing w:before="100" w:beforeAutospacing="1" w:after="200"/>
    </w:pPr>
    <w:rPr>
      <w:rFonts w:ascii="Tahoma" w:hAnsi="Tahoma" w:eastAsia="微软雅黑" w:cs="Times New Roman"/>
      <w:b w:val="0"/>
      <w:bCs w:val="0"/>
      <w:kern w:val="0"/>
      <w:sz w:val="18"/>
      <w:szCs w:val="18"/>
    </w:rPr>
  </w:style>
  <w:style w:type="paragraph" w:styleId="13">
    <w:name w:val="header"/>
    <w:basedOn w:val="1"/>
    <w:link w:val="35"/>
    <w:unhideWhenUsed/>
    <w:qFormat/>
    <w:uiPriority w:val="99"/>
    <w:pPr>
      <w:pBdr>
        <w:bottom w:val="single" w:color="auto" w:sz="6" w:space="1"/>
      </w:pBdr>
      <w:adjustRightInd w:val="0"/>
      <w:snapToGrid w:val="0"/>
      <w:spacing w:before="100" w:beforeAutospacing="1" w:after="200"/>
      <w:jc w:val="center"/>
    </w:pPr>
    <w:rPr>
      <w:rFonts w:ascii="Tahoma" w:hAnsi="Tahoma" w:eastAsia="微软雅黑" w:cs="Times New Roman"/>
      <w:b w:val="0"/>
      <w:bCs w:val="0"/>
      <w:kern w:val="0"/>
      <w:sz w:val="18"/>
      <w:szCs w:val="18"/>
    </w:rPr>
  </w:style>
  <w:style w:type="paragraph" w:styleId="14">
    <w:name w:val="toc 1"/>
    <w:basedOn w:val="1"/>
    <w:next w:val="1"/>
    <w:unhideWhenUsed/>
    <w:qFormat/>
    <w:uiPriority w:val="99"/>
    <w:pPr>
      <w:spacing w:after="100" w:afterAutospacing="1" w:line="240" w:lineRule="exact"/>
    </w:pPr>
    <w:rPr>
      <w:caps/>
      <w:sz w:val="21"/>
      <w:szCs w:val="21"/>
    </w:rPr>
  </w:style>
  <w:style w:type="paragraph" w:styleId="15">
    <w:name w:val="toc 2"/>
    <w:basedOn w:val="1"/>
    <w:next w:val="1"/>
    <w:unhideWhenUsed/>
    <w:qFormat/>
    <w:uiPriority w:val="99"/>
    <w:pPr>
      <w:spacing w:after="100" w:afterAutospacing="1" w:line="360" w:lineRule="auto"/>
      <w:ind w:left="113"/>
    </w:pPr>
    <w:rPr>
      <w:b w:val="0"/>
      <w:bCs w:val="0"/>
      <w:smallCaps/>
      <w:sz w:val="24"/>
      <w:szCs w:val="24"/>
    </w:rPr>
  </w:style>
  <w:style w:type="paragraph" w:styleId="16">
    <w:name w:val="Normal (Web)"/>
    <w:basedOn w:val="1"/>
    <w:unhideWhenUsed/>
    <w:qFormat/>
    <w:uiPriority w:val="99"/>
    <w:pPr>
      <w:spacing w:line="400" w:lineRule="exact"/>
    </w:pPr>
    <w:rPr>
      <w:b w:val="0"/>
      <w:bCs w:val="0"/>
      <w:kern w:val="0"/>
      <w:sz w:val="24"/>
      <w:szCs w:val="24"/>
    </w:rPr>
  </w:style>
  <w:style w:type="table" w:styleId="18">
    <w:name w:val="Table Grid"/>
    <w:basedOn w:val="17"/>
    <w:unhideWhenUse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unhideWhenUsed/>
    <w:qFormat/>
    <w:uiPriority w:val="99"/>
    <w:rPr>
      <w:color w:val="0000FF"/>
      <w:u w:val="single"/>
    </w:rPr>
  </w:style>
  <w:style w:type="paragraph" w:styleId="21">
    <w:name w:val="List Paragraph"/>
    <w:basedOn w:val="1"/>
    <w:qFormat/>
    <w:uiPriority w:val="34"/>
    <w:pPr>
      <w:ind w:firstLine="420" w:firstLineChars="200"/>
    </w:pPr>
  </w:style>
  <w:style w:type="character" w:customStyle="1" w:styleId="22">
    <w:name w:val="标题 1 Char"/>
    <w:basedOn w:val="19"/>
    <w:link w:val="2"/>
    <w:qFormat/>
    <w:uiPriority w:val="99"/>
    <w:rPr>
      <w:rFonts w:ascii="宋体" w:hAnsi="宋体" w:eastAsia="宋体" w:cs="宋体"/>
      <w:b/>
      <w:bCs/>
      <w:kern w:val="44"/>
      <w:sz w:val="30"/>
      <w:szCs w:val="30"/>
    </w:rPr>
  </w:style>
  <w:style w:type="character" w:customStyle="1" w:styleId="23">
    <w:name w:val="标题 2 Char"/>
    <w:basedOn w:val="19"/>
    <w:link w:val="3"/>
    <w:qFormat/>
    <w:uiPriority w:val="99"/>
    <w:rPr>
      <w:rFonts w:ascii="Arial" w:hAnsi="Arial" w:eastAsia="宋体" w:cs="宋体"/>
      <w:b/>
      <w:bCs/>
      <w:kern w:val="2"/>
      <w:sz w:val="28"/>
      <w:szCs w:val="28"/>
    </w:rPr>
  </w:style>
  <w:style w:type="character" w:customStyle="1" w:styleId="24">
    <w:name w:val="标题 3 Char"/>
    <w:basedOn w:val="19"/>
    <w:link w:val="4"/>
    <w:qFormat/>
    <w:uiPriority w:val="99"/>
    <w:rPr>
      <w:rFonts w:ascii="宋体" w:hAnsi="宋体" w:eastAsia="宋体" w:cs="宋体"/>
      <w:b/>
      <w:bCs/>
      <w:kern w:val="2"/>
      <w:sz w:val="24"/>
      <w:szCs w:val="24"/>
    </w:rPr>
  </w:style>
  <w:style w:type="paragraph" w:styleId="25">
    <w:name w:val="No Spacing"/>
    <w:basedOn w:val="1"/>
    <w:qFormat/>
    <w:uiPriority w:val="99"/>
    <w:rPr>
      <w:rFonts w:ascii="Calibri" w:hAnsi="Calibri"/>
      <w:b w:val="0"/>
      <w:bCs w:val="0"/>
      <w:sz w:val="21"/>
      <w:szCs w:val="21"/>
    </w:rPr>
  </w:style>
  <w:style w:type="character" w:customStyle="1" w:styleId="26">
    <w:name w:val="纯文本 Char"/>
    <w:basedOn w:val="19"/>
    <w:link w:val="8"/>
    <w:qFormat/>
    <w:uiPriority w:val="99"/>
    <w:rPr>
      <w:rFonts w:ascii="宋体" w:hAnsi="Courier New" w:eastAsia="宋体" w:cs="宋体"/>
      <w:b/>
      <w:bCs/>
      <w:kern w:val="2"/>
      <w:sz w:val="52"/>
      <w:szCs w:val="52"/>
    </w:rPr>
  </w:style>
  <w:style w:type="character" w:customStyle="1" w:styleId="27">
    <w:name w:val="15"/>
    <w:basedOn w:val="19"/>
    <w:qFormat/>
    <w:uiPriority w:val="0"/>
    <w:rPr>
      <w:rFonts w:hint="default" w:ascii="Times New Roman" w:hAnsi="Times New Roman" w:cs="Times New Roman"/>
      <w:i/>
      <w:iCs/>
    </w:rPr>
  </w:style>
  <w:style w:type="character" w:customStyle="1" w:styleId="28">
    <w:name w:val="批注框文本 Char"/>
    <w:basedOn w:val="19"/>
    <w:link w:val="11"/>
    <w:semiHidden/>
    <w:qFormat/>
    <w:uiPriority w:val="99"/>
    <w:rPr>
      <w:rFonts w:ascii="宋体" w:hAnsi="宋体" w:eastAsia="宋体" w:cs="宋体"/>
      <w:b/>
      <w:bCs/>
      <w:kern w:val="2"/>
      <w:sz w:val="18"/>
      <w:szCs w:val="18"/>
    </w:rPr>
  </w:style>
  <w:style w:type="character" w:customStyle="1" w:styleId="29">
    <w:name w:val="日期 Char"/>
    <w:basedOn w:val="19"/>
    <w:link w:val="9"/>
    <w:semiHidden/>
    <w:qFormat/>
    <w:uiPriority w:val="99"/>
    <w:rPr>
      <w:rFonts w:ascii="宋体" w:hAnsi="宋体" w:eastAsia="宋体" w:cs="宋体"/>
      <w:b/>
      <w:bCs/>
      <w:kern w:val="2"/>
      <w:sz w:val="40"/>
      <w:szCs w:val="40"/>
    </w:rPr>
  </w:style>
  <w:style w:type="character" w:customStyle="1" w:styleId="30">
    <w:name w:val="正文文本 Char"/>
    <w:basedOn w:val="19"/>
    <w:link w:val="5"/>
    <w:qFormat/>
    <w:uiPriority w:val="99"/>
    <w:rPr>
      <w:rFonts w:ascii="Times New Roman" w:hAnsi="Times New Roman" w:eastAsia="宋体" w:cs="Times New Roman"/>
      <w:kern w:val="2"/>
      <w:sz w:val="44"/>
      <w:szCs w:val="44"/>
    </w:rPr>
  </w:style>
  <w:style w:type="character" w:customStyle="1" w:styleId="31">
    <w:name w:val="正文文本缩进 Char"/>
    <w:basedOn w:val="19"/>
    <w:link w:val="6"/>
    <w:semiHidden/>
    <w:qFormat/>
    <w:uiPriority w:val="99"/>
    <w:rPr>
      <w:rFonts w:ascii="宋体" w:hAnsi="宋体" w:eastAsia="宋体" w:cs="宋体"/>
      <w:b/>
      <w:bCs/>
      <w:kern w:val="2"/>
      <w:sz w:val="40"/>
      <w:szCs w:val="40"/>
    </w:rPr>
  </w:style>
  <w:style w:type="paragraph" w:customStyle="1" w:styleId="32">
    <w:name w:val="reader-word-layer"/>
    <w:basedOn w:val="1"/>
    <w:qFormat/>
    <w:uiPriority w:val="0"/>
    <w:pPr>
      <w:spacing w:before="100" w:beforeAutospacing="1" w:after="100" w:afterAutospacing="1"/>
    </w:pPr>
    <w:rPr>
      <w:b w:val="0"/>
      <w:bCs w:val="0"/>
      <w:kern w:val="0"/>
      <w:sz w:val="24"/>
      <w:szCs w:val="24"/>
    </w:rPr>
  </w:style>
  <w:style w:type="paragraph" w:customStyle="1" w:styleId="33">
    <w:name w:val="List Paragraph1"/>
    <w:basedOn w:val="1"/>
    <w:qFormat/>
    <w:uiPriority w:val="0"/>
    <w:pPr>
      <w:widowControl w:val="0"/>
      <w:ind w:firstLine="420" w:firstLineChars="200"/>
      <w:jc w:val="both"/>
    </w:pPr>
    <w:rPr>
      <w:rFonts w:ascii="Calibri" w:hAnsi="Calibri" w:cs="Times New Roman"/>
      <w:b w:val="0"/>
      <w:bCs w:val="0"/>
      <w:sz w:val="21"/>
      <w:szCs w:val="21"/>
    </w:rPr>
  </w:style>
  <w:style w:type="character" w:customStyle="1" w:styleId="34">
    <w:name w:val="页脚 Char"/>
    <w:basedOn w:val="19"/>
    <w:link w:val="12"/>
    <w:qFormat/>
    <w:uiPriority w:val="99"/>
    <w:rPr>
      <w:rFonts w:ascii="Tahoma" w:hAnsi="Tahoma" w:eastAsia="微软雅黑" w:cs="Times New Roman"/>
      <w:sz w:val="18"/>
      <w:szCs w:val="18"/>
    </w:rPr>
  </w:style>
  <w:style w:type="character" w:customStyle="1" w:styleId="35">
    <w:name w:val="页眉 Char"/>
    <w:basedOn w:val="19"/>
    <w:link w:val="13"/>
    <w:qFormat/>
    <w:uiPriority w:val="99"/>
    <w:rPr>
      <w:rFonts w:ascii="Tahoma" w:hAnsi="Tahoma" w:eastAsia="微软雅黑" w:cs="Times New Roman"/>
      <w:sz w:val="18"/>
      <w:szCs w:val="18"/>
    </w:rPr>
  </w:style>
  <w:style w:type="character" w:customStyle="1" w:styleId="36">
    <w:name w:val="10"/>
    <w:basedOn w:val="19"/>
    <w:uiPriority w:val="0"/>
    <w:rPr>
      <w:rFonts w:hint="default" w:ascii="Calibri" w:hAnsi="Calibri"/>
    </w:rPr>
  </w:style>
  <w:style w:type="character" w:customStyle="1" w:styleId="37">
    <w:name w:val="正文文本缩进 2 Char"/>
    <w:basedOn w:val="19"/>
    <w:link w:val="10"/>
    <w:semiHidden/>
    <w:qFormat/>
    <w:uiPriority w:val="99"/>
    <w:rPr>
      <w:rFonts w:ascii="宋体" w:hAnsi="宋体" w:eastAsia="宋体" w:cs="宋体"/>
      <w:b/>
      <w:bCs/>
      <w:kern w:val="2"/>
      <w:sz w:val="40"/>
      <w:szCs w:val="4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E092E0-C881-48F8-8A68-F185FB8D4A67}">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121</Pages>
  <Words>10805</Words>
  <Characters>61591</Characters>
  <Lines>513</Lines>
  <Paragraphs>144</Paragraphs>
  <TotalTime>2</TotalTime>
  <ScaleCrop>false</ScaleCrop>
  <LinksUpToDate>false</LinksUpToDate>
  <CharactersWithSpaces>72252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2020-05-30T01:40:00Z</dcterms:created>
  <dc:creator>xbany</dc:creator>
  <cp:lastModifiedBy>王建伟  @15399013772</cp:lastModifiedBy>
  <dcterms:modified xsi:type="dcterms:W3CDTF">2020-05-30T02:40:55Z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DocHome">
    <vt:i4>-590541503</vt:i4>
  </property>
</Properties>
</file>