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FDB" w:rsidRPr="005E6A13" w:rsidRDefault="00907FDB" w:rsidP="00907FDB">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5E6A13">
        <w:rPr>
          <w:rFonts w:ascii="Arial" w:eastAsia="宋体" w:hAnsi="Arial" w:cs="Arial"/>
          <w:b/>
          <w:bCs/>
          <w:color w:val="01288D"/>
          <w:kern w:val="36"/>
          <w:sz w:val="33"/>
          <w:szCs w:val="33"/>
        </w:rPr>
        <w:t>泌乳</w:t>
      </w:r>
      <w:r>
        <w:rPr>
          <w:rFonts w:ascii="Arial" w:eastAsia="宋体" w:hAnsi="Arial" w:cs="Arial" w:hint="eastAsia"/>
          <w:b/>
          <w:bCs/>
          <w:color w:val="01288D"/>
          <w:kern w:val="36"/>
          <w:sz w:val="33"/>
          <w:szCs w:val="33"/>
        </w:rPr>
        <w:t>奶</w:t>
      </w:r>
      <w:r w:rsidRPr="005E6A13">
        <w:rPr>
          <w:rFonts w:ascii="Arial" w:eastAsia="宋体" w:hAnsi="Arial" w:cs="Arial"/>
          <w:b/>
          <w:bCs/>
          <w:color w:val="01288D"/>
          <w:kern w:val="36"/>
          <w:sz w:val="33"/>
          <w:szCs w:val="33"/>
        </w:rPr>
        <w:t>牛棕榈酸和硬脂酸代谢研究</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5E6A13">
        <w:rPr>
          <w:rFonts w:ascii="Arial" w:eastAsia="宋体" w:hAnsi="Arial" w:cs="Arial"/>
          <w:color w:val="2B2B2B"/>
          <w:kern w:val="0"/>
          <w:szCs w:val="21"/>
        </w:rPr>
        <w:t xml:space="preserve">　　</w:t>
      </w:r>
      <w:r w:rsidRPr="00907FDB">
        <w:rPr>
          <w:rFonts w:ascii="Arial" w:eastAsia="宋体" w:hAnsi="Arial" w:cs="Arial"/>
          <w:color w:val="2B2B2B"/>
          <w:kern w:val="0"/>
          <w:sz w:val="32"/>
          <w:szCs w:val="32"/>
        </w:rPr>
        <w:t>在过去二十年时间里，对泌乳牛的脂肪酸营养代谢研究取得了很大的进展，主要集中在能量代谢中脂肪酸的利用和乳脂产量等方面。若要不断提高奶牛的产奶量，能量将成为一个主要的营养难题，正因为这个原因，牧场主和营养学家已经增加高能量饲料的使用，例如泌乳牛日粮中添加脂肪等。干的瘤胃惰性脂肪添加剂因为其能量浓度、和与谷物、矿物质或是全混合日粮等混合的多用途性，现在已经成为了牧场常用的原料。干的瘤胃惰性脂肪通常包含大量的诸如棕榈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碳</w:t>
      </w:r>
      <w:r w:rsidRPr="00907FDB">
        <w:rPr>
          <w:rFonts w:ascii="Arial" w:eastAsia="宋体" w:hAnsi="Arial" w:cs="Arial"/>
          <w:color w:val="2B2B2B"/>
          <w:kern w:val="0"/>
          <w:sz w:val="32"/>
          <w:szCs w:val="32"/>
        </w:rPr>
        <w:t>16:0)</w:t>
      </w:r>
      <w:r w:rsidRPr="00907FDB">
        <w:rPr>
          <w:rFonts w:ascii="Arial" w:eastAsia="宋体" w:hAnsi="Arial" w:cs="Arial"/>
          <w:color w:val="2B2B2B"/>
          <w:kern w:val="0"/>
          <w:sz w:val="32"/>
          <w:szCs w:val="32"/>
        </w:rPr>
        <w:t>、硬脂酸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碳</w:t>
      </w:r>
      <w:r w:rsidRPr="00907FDB">
        <w:rPr>
          <w:rFonts w:ascii="Arial" w:eastAsia="宋体" w:hAnsi="Arial" w:cs="Arial"/>
          <w:color w:val="2B2B2B"/>
          <w:kern w:val="0"/>
          <w:sz w:val="32"/>
          <w:szCs w:val="32"/>
        </w:rPr>
        <w:t>18:0)</w:t>
      </w:r>
      <w:r w:rsidRPr="00907FDB">
        <w:rPr>
          <w:rFonts w:ascii="Arial" w:eastAsia="宋体" w:hAnsi="Arial" w:cs="Arial"/>
          <w:color w:val="2B2B2B"/>
          <w:kern w:val="0"/>
          <w:sz w:val="32"/>
          <w:szCs w:val="32"/>
        </w:rPr>
        <w:t>、油酸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碳</w:t>
      </w:r>
      <w:r w:rsidRPr="00907FDB">
        <w:rPr>
          <w:rFonts w:ascii="Arial" w:eastAsia="宋体" w:hAnsi="Arial" w:cs="Arial"/>
          <w:color w:val="2B2B2B"/>
          <w:kern w:val="0"/>
          <w:sz w:val="32"/>
          <w:szCs w:val="32"/>
        </w:rPr>
        <w:t>18:1)</w:t>
      </w:r>
      <w:r w:rsidRPr="00907FDB">
        <w:rPr>
          <w:rFonts w:ascii="Arial" w:eastAsia="宋体" w:hAnsi="Arial" w:cs="Arial"/>
          <w:color w:val="2B2B2B"/>
          <w:kern w:val="0"/>
          <w:sz w:val="32"/>
          <w:szCs w:val="32"/>
        </w:rPr>
        <w:t>、亚油酸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碳</w:t>
      </w:r>
      <w:r w:rsidRPr="00907FDB">
        <w:rPr>
          <w:rFonts w:ascii="Arial" w:eastAsia="宋体" w:hAnsi="Arial" w:cs="Arial"/>
          <w:color w:val="2B2B2B"/>
          <w:kern w:val="0"/>
          <w:sz w:val="32"/>
          <w:szCs w:val="32"/>
        </w:rPr>
        <w:t>18:2)</w:t>
      </w:r>
      <w:r w:rsidRPr="00907FDB">
        <w:rPr>
          <w:rFonts w:ascii="Arial" w:eastAsia="宋体" w:hAnsi="Arial" w:cs="Arial"/>
          <w:color w:val="2B2B2B"/>
          <w:kern w:val="0"/>
          <w:sz w:val="32"/>
          <w:szCs w:val="32"/>
        </w:rPr>
        <w:t>等脂肪酸。研究表明并不是所有的惰性脂肪酸都是以相同的方式被利用和代谢，它们在牛只体内会通过不同的代谢途径发挥不同的功能。本文主要讨论碳</w:t>
      </w:r>
      <w:r w:rsidRPr="00907FDB">
        <w:rPr>
          <w:rFonts w:ascii="Arial" w:eastAsia="宋体" w:hAnsi="Arial" w:cs="Arial"/>
          <w:color w:val="2B2B2B"/>
          <w:kern w:val="0"/>
          <w:sz w:val="32"/>
          <w:szCs w:val="32"/>
        </w:rPr>
        <w:t>16:0</w:t>
      </w:r>
      <w:r w:rsidRPr="00907FDB">
        <w:rPr>
          <w:rFonts w:ascii="Arial" w:eastAsia="宋体" w:hAnsi="Arial" w:cs="Arial"/>
          <w:color w:val="2B2B2B"/>
          <w:kern w:val="0"/>
          <w:sz w:val="32"/>
          <w:szCs w:val="32"/>
        </w:rPr>
        <w:t>和碳</w:t>
      </w:r>
      <w:r w:rsidRPr="00907FDB">
        <w:rPr>
          <w:rFonts w:ascii="Arial" w:eastAsia="宋体" w:hAnsi="Arial" w:cs="Arial"/>
          <w:color w:val="2B2B2B"/>
          <w:kern w:val="0"/>
          <w:sz w:val="32"/>
          <w:szCs w:val="32"/>
        </w:rPr>
        <w:t>18:0</w:t>
      </w:r>
      <w:r w:rsidRPr="00907FDB">
        <w:rPr>
          <w:rFonts w:ascii="Arial" w:eastAsia="宋体" w:hAnsi="Arial" w:cs="Arial"/>
          <w:color w:val="2B2B2B"/>
          <w:kern w:val="0"/>
          <w:sz w:val="32"/>
          <w:szCs w:val="32"/>
        </w:rPr>
        <w:t>这两种主要的瘤胃惰性脂肪酸的代谢。</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b/>
          <w:bCs/>
          <w:color w:val="2B2B2B"/>
          <w:kern w:val="0"/>
          <w:sz w:val="32"/>
          <w:szCs w:val="32"/>
        </w:rPr>
        <w:t xml:space="preserve">　棕榈酸和硬脂酸的结构和特性</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棕榈酸是含</w:t>
      </w:r>
      <w:r w:rsidRPr="00907FDB">
        <w:rPr>
          <w:rFonts w:ascii="Arial" w:eastAsia="宋体" w:hAnsi="Arial" w:cs="Arial"/>
          <w:color w:val="2B2B2B"/>
          <w:kern w:val="0"/>
          <w:sz w:val="32"/>
          <w:szCs w:val="32"/>
        </w:rPr>
        <w:t>16</w:t>
      </w:r>
      <w:r w:rsidRPr="00907FDB">
        <w:rPr>
          <w:rFonts w:ascii="Arial" w:eastAsia="宋体" w:hAnsi="Arial" w:cs="Arial"/>
          <w:color w:val="2B2B2B"/>
          <w:kern w:val="0"/>
          <w:sz w:val="32"/>
          <w:szCs w:val="32"/>
        </w:rPr>
        <w:t>碳原子的十六烷酸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软脂酸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，化学式为</w:t>
      </w:r>
      <w:r w:rsidRPr="00907FDB">
        <w:rPr>
          <w:rFonts w:ascii="Arial" w:eastAsia="宋体" w:hAnsi="Arial" w:cs="Arial"/>
          <w:color w:val="2B2B2B"/>
          <w:kern w:val="0"/>
          <w:sz w:val="32"/>
          <w:szCs w:val="32"/>
        </w:rPr>
        <w:t>CH3(CH2)14CO2H</w:t>
      </w:r>
      <w:r w:rsidRPr="00907FDB">
        <w:rPr>
          <w:rFonts w:ascii="Arial" w:eastAsia="宋体" w:hAnsi="Arial" w:cs="Arial"/>
          <w:color w:val="2B2B2B"/>
          <w:kern w:val="0"/>
          <w:sz w:val="32"/>
          <w:szCs w:val="32"/>
        </w:rPr>
        <w:t>，化学结构</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noProof/>
          <w:color w:val="2B2B2B"/>
          <w:kern w:val="0"/>
          <w:sz w:val="32"/>
          <w:szCs w:val="32"/>
        </w:rPr>
        <w:drawing>
          <wp:inline distT="0" distB="0" distL="0" distR="0">
            <wp:extent cx="3895725" cy="657225"/>
            <wp:effectExtent l="19050" t="0" r="9525" b="0"/>
            <wp:docPr id="3" name="图片 3" descr="http://www.hesitan.com:80/pdres/201409/201409051006047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esitan.com:80/pdres/201409/20140905100604759.jpg"/>
                    <pic:cNvPicPr>
                      <a:picLocks noChangeAspect="1" noChangeArrowheads="1"/>
                    </pic:cNvPicPr>
                  </pic:nvPicPr>
                  <pic:blipFill>
                    <a:blip r:embed="rId6"/>
                    <a:srcRect/>
                    <a:stretch>
                      <a:fillRect/>
                    </a:stretch>
                  </pic:blipFill>
                  <pic:spPr bwMode="auto">
                    <a:xfrm>
                      <a:off x="0" y="0"/>
                      <a:ext cx="3895725" cy="657225"/>
                    </a:xfrm>
                    <a:prstGeom prst="rect">
                      <a:avLst/>
                    </a:prstGeom>
                    <a:noFill/>
                    <a:ln w="9525">
                      <a:noFill/>
                      <a:miter lim="800000"/>
                      <a:headEnd/>
                      <a:tailEnd/>
                    </a:ln>
                  </pic:spPr>
                </pic:pic>
              </a:graphicData>
            </a:graphic>
          </wp:inline>
        </w:drawing>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lastRenderedPageBreak/>
        <w:t xml:space="preserve">　　它最先是由法国化学家</w:t>
      </w:r>
      <w:r w:rsidRPr="00907FDB">
        <w:rPr>
          <w:rFonts w:ascii="Arial" w:eastAsia="宋体" w:hAnsi="Arial" w:cs="Arial"/>
          <w:color w:val="2B2B2B"/>
          <w:kern w:val="0"/>
          <w:sz w:val="32"/>
          <w:szCs w:val="32"/>
        </w:rPr>
        <w:t>Edmond Fremy</w:t>
      </w:r>
      <w:r w:rsidRPr="00907FDB">
        <w:rPr>
          <w:rFonts w:ascii="Arial" w:eastAsia="宋体" w:hAnsi="Arial" w:cs="Arial"/>
          <w:color w:val="2B2B2B"/>
          <w:kern w:val="0"/>
          <w:sz w:val="32"/>
          <w:szCs w:val="32"/>
        </w:rPr>
        <w:t>在</w:t>
      </w:r>
      <w:r w:rsidRPr="00907FDB">
        <w:rPr>
          <w:rFonts w:ascii="Arial" w:eastAsia="宋体" w:hAnsi="Arial" w:cs="Arial"/>
          <w:color w:val="2B2B2B"/>
          <w:kern w:val="0"/>
          <w:sz w:val="32"/>
          <w:szCs w:val="32"/>
        </w:rPr>
        <w:t>1840</w:t>
      </w:r>
      <w:r w:rsidRPr="00907FDB">
        <w:rPr>
          <w:rFonts w:ascii="Arial" w:eastAsia="宋体" w:hAnsi="Arial" w:cs="Arial"/>
          <w:color w:val="2B2B2B"/>
          <w:kern w:val="0"/>
          <w:sz w:val="32"/>
          <w:szCs w:val="32"/>
        </w:rPr>
        <w:t>年制作蜡烛时被发现的。棕榈酸是动植物和微生物最常见的脂肪酸。</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的主要来源是棕榈油、棕榈仁油和椰子油，也存在于肉类和乳制品中。棕榈酸的熔点是</w:t>
      </w:r>
      <w:r w:rsidRPr="00907FDB">
        <w:rPr>
          <w:rFonts w:ascii="Arial" w:eastAsia="宋体" w:hAnsi="Arial" w:cs="Arial"/>
          <w:color w:val="2B2B2B"/>
          <w:kern w:val="0"/>
          <w:sz w:val="32"/>
          <w:szCs w:val="32"/>
        </w:rPr>
        <w:t>145°F(62.7</w:t>
      </w:r>
      <w:r w:rsidRPr="00907FDB">
        <w:rPr>
          <w:rFonts w:ascii="宋体" w:eastAsia="宋体" w:hAnsi="宋体" w:cs="宋体" w:hint="eastAsia"/>
          <w:color w:val="2B2B2B"/>
          <w:kern w:val="0"/>
          <w:sz w:val="32"/>
          <w:szCs w:val="32"/>
        </w:rPr>
        <w:t>℃</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，酸度系数</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酸离解常数</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为</w:t>
      </w:r>
      <w:r w:rsidRPr="00907FDB">
        <w:rPr>
          <w:rFonts w:ascii="Arial" w:eastAsia="宋体" w:hAnsi="Arial" w:cs="Arial"/>
          <w:color w:val="2B2B2B"/>
          <w:kern w:val="0"/>
          <w:sz w:val="32"/>
          <w:szCs w:val="32"/>
        </w:rPr>
        <w:t>4.78(Budavari,1989)</w:t>
      </w:r>
      <w:r w:rsidRPr="00907FDB">
        <w:rPr>
          <w:rFonts w:ascii="Arial" w:eastAsia="宋体" w:hAnsi="Arial" w:cs="Arial"/>
          <w:color w:val="2B2B2B"/>
          <w:kern w:val="0"/>
          <w:sz w:val="32"/>
          <w:szCs w:val="32"/>
        </w:rPr>
        <w:t>。硬脂酸是</w:t>
      </w:r>
      <w:r w:rsidRPr="00907FDB">
        <w:rPr>
          <w:rFonts w:ascii="Arial" w:eastAsia="宋体" w:hAnsi="Arial" w:cs="Arial"/>
          <w:color w:val="2B2B2B"/>
          <w:kern w:val="0"/>
          <w:sz w:val="32"/>
          <w:szCs w:val="32"/>
        </w:rPr>
        <w:t>18</w:t>
      </w:r>
      <w:r w:rsidRPr="00907FDB">
        <w:rPr>
          <w:rFonts w:ascii="Arial" w:eastAsia="宋体" w:hAnsi="Arial" w:cs="Arial"/>
          <w:color w:val="2B2B2B"/>
          <w:kern w:val="0"/>
          <w:sz w:val="32"/>
          <w:szCs w:val="32"/>
        </w:rPr>
        <w:t>碳原子的正十八烷酸，化学式为</w:t>
      </w:r>
      <w:r w:rsidRPr="00907FDB">
        <w:rPr>
          <w:rFonts w:ascii="Arial" w:eastAsia="宋体" w:hAnsi="Arial" w:cs="Arial"/>
          <w:color w:val="2B2B2B"/>
          <w:kern w:val="0"/>
          <w:sz w:val="32"/>
          <w:szCs w:val="32"/>
        </w:rPr>
        <w:t>CH3(CH2)16CO2H</w:t>
      </w:r>
      <w:r w:rsidRPr="00907FDB">
        <w:rPr>
          <w:rFonts w:ascii="Arial" w:eastAsia="宋体" w:hAnsi="Arial" w:cs="Arial"/>
          <w:color w:val="2B2B2B"/>
          <w:kern w:val="0"/>
          <w:sz w:val="32"/>
          <w:szCs w:val="32"/>
        </w:rPr>
        <w:t>，化学结构</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noProof/>
          <w:color w:val="2B2B2B"/>
          <w:kern w:val="0"/>
          <w:sz w:val="32"/>
          <w:szCs w:val="32"/>
        </w:rPr>
        <w:drawing>
          <wp:inline distT="0" distB="0" distL="0" distR="0">
            <wp:extent cx="4371975" cy="904875"/>
            <wp:effectExtent l="19050" t="0" r="9525" b="0"/>
            <wp:docPr id="4" name="图片 4" descr="http://www.hesitan.com:80/pdres/201409/201409051006047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esitan.com:80/pdres/201409/20140905100604760.jpg"/>
                    <pic:cNvPicPr>
                      <a:picLocks noChangeAspect="1" noChangeArrowheads="1"/>
                    </pic:cNvPicPr>
                  </pic:nvPicPr>
                  <pic:blipFill>
                    <a:blip r:embed="rId7"/>
                    <a:srcRect/>
                    <a:stretch>
                      <a:fillRect/>
                    </a:stretch>
                  </pic:blipFill>
                  <pic:spPr bwMode="auto">
                    <a:xfrm>
                      <a:off x="0" y="0"/>
                      <a:ext cx="4371975" cy="904875"/>
                    </a:xfrm>
                    <a:prstGeom prst="rect">
                      <a:avLst/>
                    </a:prstGeom>
                    <a:noFill/>
                    <a:ln w="9525">
                      <a:noFill/>
                      <a:miter lim="800000"/>
                      <a:headEnd/>
                      <a:tailEnd/>
                    </a:ln>
                  </pic:spPr>
                </pic:pic>
              </a:graphicData>
            </a:graphic>
          </wp:inline>
        </w:drawing>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早在</w:t>
      </w:r>
      <w:r w:rsidRPr="00907FDB">
        <w:rPr>
          <w:rFonts w:ascii="Arial" w:eastAsia="宋体" w:hAnsi="Arial" w:cs="Arial"/>
          <w:color w:val="2B2B2B"/>
          <w:kern w:val="0"/>
          <w:sz w:val="32"/>
          <w:szCs w:val="32"/>
        </w:rPr>
        <w:t>18</w:t>
      </w:r>
      <w:r w:rsidRPr="00907FDB">
        <w:rPr>
          <w:rFonts w:ascii="Arial" w:eastAsia="宋体" w:hAnsi="Arial" w:cs="Arial"/>
          <w:color w:val="2B2B2B"/>
          <w:kern w:val="0"/>
          <w:sz w:val="32"/>
          <w:szCs w:val="32"/>
        </w:rPr>
        <w:t>世纪</w:t>
      </w:r>
      <w:r w:rsidRPr="00907FDB">
        <w:rPr>
          <w:rFonts w:ascii="Arial" w:eastAsia="宋体" w:hAnsi="Arial" w:cs="Arial"/>
          <w:color w:val="2B2B2B"/>
          <w:kern w:val="0"/>
          <w:sz w:val="32"/>
          <w:szCs w:val="32"/>
        </w:rPr>
        <w:t>Michel Eugene Chevreul</w:t>
      </w:r>
      <w:r w:rsidRPr="00907FDB">
        <w:rPr>
          <w:rFonts w:ascii="Arial" w:eastAsia="宋体" w:hAnsi="Arial" w:cs="Arial"/>
          <w:color w:val="2B2B2B"/>
          <w:kern w:val="0"/>
          <w:sz w:val="32"/>
          <w:szCs w:val="32"/>
        </w:rPr>
        <w:t>描述了</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。自然界中的存在程度仅次于</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，它存在于许多动植物脂肪中，但动物脂肪中的含量要高于植物脂肪。它的熔点是</w:t>
      </w:r>
      <w:r w:rsidRPr="00907FDB">
        <w:rPr>
          <w:rFonts w:ascii="Arial" w:eastAsia="宋体" w:hAnsi="Arial" w:cs="Arial"/>
          <w:color w:val="2B2B2B"/>
          <w:kern w:val="0"/>
          <w:sz w:val="32"/>
          <w:szCs w:val="32"/>
        </w:rPr>
        <w:t>157°F(69.4</w:t>
      </w:r>
      <w:r w:rsidRPr="00907FDB">
        <w:rPr>
          <w:rFonts w:ascii="宋体" w:eastAsia="宋体" w:hAnsi="宋体" w:cs="宋体" w:hint="eastAsia"/>
          <w:color w:val="2B2B2B"/>
          <w:kern w:val="0"/>
          <w:sz w:val="32"/>
          <w:szCs w:val="32"/>
        </w:rPr>
        <w:t>℃</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，酸度系数是</w:t>
      </w:r>
      <w:r w:rsidRPr="00907FDB">
        <w:rPr>
          <w:rFonts w:ascii="Arial" w:eastAsia="宋体" w:hAnsi="Arial" w:cs="Arial"/>
          <w:color w:val="2B2B2B"/>
          <w:kern w:val="0"/>
          <w:sz w:val="32"/>
          <w:szCs w:val="32"/>
        </w:rPr>
        <w:t xml:space="preserve">4.50(Sukhija </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 xml:space="preserve"> Palmquist, 1990)</w:t>
      </w:r>
      <w:r w:rsidRPr="00907FDB">
        <w:rPr>
          <w:rFonts w:ascii="Arial" w:eastAsia="宋体" w:hAnsi="Arial" w:cs="Arial"/>
          <w:color w:val="2B2B2B"/>
          <w:kern w:val="0"/>
          <w:sz w:val="32"/>
          <w:szCs w:val="32"/>
        </w:rPr>
        <w:t>。</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noProof/>
          <w:color w:val="2B2B2B"/>
          <w:kern w:val="0"/>
          <w:sz w:val="32"/>
          <w:szCs w:val="32"/>
        </w:rPr>
        <w:drawing>
          <wp:inline distT="0" distB="0" distL="0" distR="0">
            <wp:extent cx="4267200" cy="866775"/>
            <wp:effectExtent l="19050" t="0" r="0" b="0"/>
            <wp:docPr id="5" name="图片 5" descr="http://www.hesitan.com:80/pdres/201409/201409051006047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esitan.com:80/pdres/201409/20140905100604761.jpg"/>
                    <pic:cNvPicPr>
                      <a:picLocks noChangeAspect="1" noChangeArrowheads="1"/>
                    </pic:cNvPicPr>
                  </pic:nvPicPr>
                  <pic:blipFill>
                    <a:blip r:embed="rId8"/>
                    <a:srcRect/>
                    <a:stretch>
                      <a:fillRect/>
                    </a:stretch>
                  </pic:blipFill>
                  <pic:spPr bwMode="auto">
                    <a:xfrm>
                      <a:off x="0" y="0"/>
                      <a:ext cx="4267200" cy="866775"/>
                    </a:xfrm>
                    <a:prstGeom prst="rect">
                      <a:avLst/>
                    </a:prstGeom>
                    <a:noFill/>
                    <a:ln w="9525">
                      <a:noFill/>
                      <a:miter lim="800000"/>
                      <a:headEnd/>
                      <a:tailEnd/>
                    </a:ln>
                  </pic:spPr>
                </pic:pic>
              </a:graphicData>
            </a:graphic>
          </wp:inline>
        </w:drawing>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b/>
          <w:bCs/>
          <w:color w:val="2B2B2B"/>
          <w:kern w:val="0"/>
          <w:sz w:val="32"/>
          <w:szCs w:val="32"/>
        </w:rPr>
        <w:t>消化与吸收</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脂肪消化与吸收的第一步是水解，奶牛摄入的所有脂肪酸几乎都以甘油三酯、磷脂和糖酵解等方式降解。瘤胃内的细菌和微生物将它们水解为长链脂肪酸、甘油、糖、胆碱、</w:t>
      </w:r>
      <w:r w:rsidRPr="00907FDB">
        <w:rPr>
          <w:rFonts w:ascii="Arial" w:eastAsia="宋体" w:hAnsi="Arial" w:cs="Arial"/>
          <w:color w:val="2B2B2B"/>
          <w:kern w:val="0"/>
          <w:sz w:val="32"/>
          <w:szCs w:val="32"/>
        </w:rPr>
        <w:lastRenderedPageBreak/>
        <w:t>丝氨酸和其它有机复合物，包括磷等</w:t>
      </w:r>
      <w:r w:rsidRPr="00907FDB">
        <w:rPr>
          <w:rFonts w:ascii="Arial" w:eastAsia="宋体" w:hAnsi="Arial" w:cs="Arial"/>
          <w:color w:val="2B2B2B"/>
          <w:kern w:val="0"/>
          <w:sz w:val="32"/>
          <w:szCs w:val="32"/>
        </w:rPr>
        <w:t>(Buccioni,2012)</w:t>
      </w:r>
      <w:r w:rsidRPr="00907FDB">
        <w:rPr>
          <w:rFonts w:ascii="Arial" w:eastAsia="宋体" w:hAnsi="Arial" w:cs="Arial"/>
          <w:color w:val="2B2B2B"/>
          <w:kern w:val="0"/>
          <w:sz w:val="32"/>
          <w:szCs w:val="32"/>
        </w:rPr>
        <w:t>。瘤胃微生物水解酯化脂肪的能力很低，但微生物对它们的水解能力非常强，进入十二指肠的脂肪约</w:t>
      </w:r>
      <w:r w:rsidRPr="00907FDB">
        <w:rPr>
          <w:rFonts w:ascii="Arial" w:eastAsia="宋体" w:hAnsi="Arial" w:cs="Arial"/>
          <w:color w:val="2B2B2B"/>
          <w:kern w:val="0"/>
          <w:sz w:val="32"/>
          <w:szCs w:val="32"/>
        </w:rPr>
        <w:t>85</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95%</w:t>
      </w:r>
      <w:r w:rsidRPr="00907FDB">
        <w:rPr>
          <w:rFonts w:ascii="Arial" w:eastAsia="宋体" w:hAnsi="Arial" w:cs="Arial"/>
          <w:color w:val="2B2B2B"/>
          <w:kern w:val="0"/>
          <w:sz w:val="32"/>
          <w:szCs w:val="32"/>
        </w:rPr>
        <w:t>属于非酯化和游离脂肪酸</w:t>
      </w:r>
      <w:r w:rsidRPr="00907FDB">
        <w:rPr>
          <w:rFonts w:ascii="Arial" w:eastAsia="宋体" w:hAnsi="Arial" w:cs="Arial"/>
          <w:color w:val="2B2B2B"/>
          <w:kern w:val="0"/>
          <w:sz w:val="32"/>
          <w:szCs w:val="32"/>
        </w:rPr>
        <w:t>(Buccioni,2012;Doreau and Ferlay,1994)</w:t>
      </w:r>
      <w:r w:rsidRPr="00907FDB">
        <w:rPr>
          <w:rFonts w:ascii="Arial" w:eastAsia="宋体" w:hAnsi="Arial" w:cs="Arial"/>
          <w:color w:val="2B2B2B"/>
          <w:kern w:val="0"/>
          <w:sz w:val="32"/>
          <w:szCs w:val="32"/>
        </w:rPr>
        <w:t>。水解过程中只有释放的不饱和脂肪酸才被微生物氢化成饱和性脂肪酸，主要是</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，其次是</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。而氢化过程并不彻底，会有一些不饱和脂肪酸存在于瘤胃中，它们会引起乳脂的降低</w:t>
      </w:r>
      <w:r w:rsidRPr="00907FDB">
        <w:rPr>
          <w:rFonts w:ascii="Arial" w:eastAsia="宋体" w:hAnsi="Arial" w:cs="Arial"/>
          <w:color w:val="2B2B2B"/>
          <w:kern w:val="0"/>
          <w:sz w:val="32"/>
          <w:szCs w:val="32"/>
        </w:rPr>
        <w:t>(Bauman et al,2011;Buccioni,2012 and Jenkins,2008)</w:t>
      </w:r>
      <w:r w:rsidRPr="00907FDB">
        <w:rPr>
          <w:rFonts w:ascii="Arial" w:eastAsia="宋体" w:hAnsi="Arial" w:cs="Arial"/>
          <w:color w:val="2B2B2B"/>
          <w:kern w:val="0"/>
          <w:sz w:val="32"/>
          <w:szCs w:val="32"/>
        </w:rPr>
        <w:t>。</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排出瘤胃时，脂肪酸以不溶性的颗粒状态存在于饲料颗粒和微生物细胞中，进入十二指肠后，胰脂酶和胆汁将吸附在饲料颗粒中的游离脂肪酸从颗粒相转化成胶束相，胆酸盐和溶酶体可以帮助胶束相脂肪酸穿过肠道粘膜。胶束相可以帮助疏水性脂肪很容易穿过空肠粘膜上皮细胞的疏水层，在空肠中吸收这些脂肪酸和溶酶体，而胆酸盐可以一直保留在肠道中继续帮助其吸收。在小肠的上皮细胞中脂肪酸被再次酯化，甘油三酯和磷脂被吸收进入乳糜微粒和极低密度脂蛋白</w:t>
      </w:r>
      <w:r w:rsidRPr="00907FDB">
        <w:rPr>
          <w:rFonts w:ascii="Arial" w:eastAsia="宋体" w:hAnsi="Arial" w:cs="Arial"/>
          <w:color w:val="2B2B2B"/>
          <w:kern w:val="0"/>
          <w:sz w:val="32"/>
          <w:szCs w:val="32"/>
        </w:rPr>
        <w:t>(VLDL</w:t>
      </w:r>
      <w:r w:rsidRPr="00907FDB">
        <w:rPr>
          <w:rFonts w:ascii="Arial" w:eastAsia="宋体" w:hAnsi="Arial" w:cs="Arial"/>
          <w:color w:val="2B2B2B"/>
          <w:kern w:val="0"/>
          <w:sz w:val="32"/>
          <w:szCs w:val="32"/>
        </w:rPr>
        <w:t>，其主要通过淋巴细胞进行转移</w:t>
      </w:r>
      <w:r w:rsidRPr="00907FDB">
        <w:rPr>
          <w:rFonts w:ascii="Arial" w:eastAsia="宋体" w:hAnsi="Arial" w:cs="Arial"/>
          <w:color w:val="2B2B2B"/>
          <w:kern w:val="0"/>
          <w:sz w:val="32"/>
          <w:szCs w:val="32"/>
        </w:rPr>
        <w:t>)(Freeman</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1969)</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Freeman(1969)</w:t>
      </w:r>
      <w:r w:rsidRPr="00907FDB">
        <w:rPr>
          <w:rFonts w:ascii="Arial" w:eastAsia="宋体" w:hAnsi="Arial" w:cs="Arial"/>
          <w:color w:val="2B2B2B"/>
          <w:kern w:val="0"/>
          <w:sz w:val="32"/>
          <w:szCs w:val="32"/>
        </w:rPr>
        <w:t>认为在反刍动物体内，胆汁和胰液都参与这个过程，胆汁提供胆酸盐和卵磷脂，胰液提供酶将卵磷脂转化成溶酶体和碳酸盐来提高</w:t>
      </w:r>
      <w:r w:rsidRPr="00907FDB">
        <w:rPr>
          <w:rFonts w:ascii="Arial" w:eastAsia="宋体" w:hAnsi="Arial" w:cs="Arial"/>
          <w:color w:val="2B2B2B"/>
          <w:kern w:val="0"/>
          <w:sz w:val="32"/>
          <w:szCs w:val="32"/>
        </w:rPr>
        <w:t>pH</w:t>
      </w:r>
      <w:r w:rsidRPr="00907FDB">
        <w:rPr>
          <w:rFonts w:ascii="Arial" w:eastAsia="宋体" w:hAnsi="Arial" w:cs="Arial"/>
          <w:color w:val="2B2B2B"/>
          <w:kern w:val="0"/>
          <w:sz w:val="32"/>
          <w:szCs w:val="32"/>
        </w:rPr>
        <w:t>值。溶酶体和胆酸盐一起从食物颗粒和细菌中吸收脂肪酸形成胶束相。</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noProof/>
          <w:color w:val="2B2B2B"/>
          <w:kern w:val="0"/>
          <w:sz w:val="32"/>
          <w:szCs w:val="32"/>
        </w:rPr>
        <w:lastRenderedPageBreak/>
        <w:drawing>
          <wp:inline distT="0" distB="0" distL="0" distR="0">
            <wp:extent cx="4314825" cy="1676400"/>
            <wp:effectExtent l="19050" t="0" r="9525" b="0"/>
            <wp:docPr id="6" name="图片 6" descr="http://www.hesitan.com:80/pdres/201409/201409051006514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hesitan.com:80/pdres/201409/20140905100651448.jpg"/>
                    <pic:cNvPicPr>
                      <a:picLocks noChangeAspect="1" noChangeArrowheads="1"/>
                    </pic:cNvPicPr>
                  </pic:nvPicPr>
                  <pic:blipFill>
                    <a:blip r:embed="rId9"/>
                    <a:srcRect/>
                    <a:stretch>
                      <a:fillRect/>
                    </a:stretch>
                  </pic:blipFill>
                  <pic:spPr bwMode="auto">
                    <a:xfrm>
                      <a:off x="0" y="0"/>
                      <a:ext cx="4314825" cy="1676400"/>
                    </a:xfrm>
                    <a:prstGeom prst="rect">
                      <a:avLst/>
                    </a:prstGeom>
                    <a:noFill/>
                    <a:ln w="9525">
                      <a:noFill/>
                      <a:miter lim="800000"/>
                      <a:headEnd/>
                      <a:tailEnd/>
                    </a:ln>
                  </pic:spPr>
                </pic:pic>
              </a:graphicData>
            </a:graphic>
          </wp:inline>
        </w:drawing>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color w:val="2B2B2B"/>
          <w:kern w:val="0"/>
          <w:sz w:val="32"/>
          <w:szCs w:val="32"/>
        </w:rPr>
        <w:t>图</w:t>
      </w:r>
      <w:r w:rsidRPr="00907FDB">
        <w:rPr>
          <w:rFonts w:ascii="Arial" w:eastAsia="宋体" w:hAnsi="Arial" w:cs="Arial"/>
          <w:color w:val="2B2B2B"/>
          <w:kern w:val="0"/>
          <w:sz w:val="32"/>
          <w:szCs w:val="32"/>
        </w:rPr>
        <w:t xml:space="preserve">1 </w:t>
      </w:r>
      <w:r w:rsidRPr="00907FDB">
        <w:rPr>
          <w:rFonts w:ascii="Arial" w:eastAsia="宋体" w:hAnsi="Arial" w:cs="Arial"/>
          <w:color w:val="2B2B2B"/>
          <w:kern w:val="0"/>
          <w:sz w:val="32"/>
          <w:szCs w:val="32"/>
        </w:rPr>
        <w:t>反刍动物小肠中脂肪酸的消化，摘自</w:t>
      </w:r>
      <w:r w:rsidRPr="00907FDB">
        <w:rPr>
          <w:rFonts w:ascii="Arial" w:eastAsia="宋体" w:hAnsi="Arial" w:cs="Arial"/>
          <w:color w:val="2B2B2B"/>
          <w:kern w:val="0"/>
          <w:sz w:val="32"/>
          <w:szCs w:val="32"/>
        </w:rPr>
        <w:t>Davis,1990.</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许多研究都是关于整个消化道的脂肪酸消化率，而没有考虑到瘤胃中的脂肪酸代谢、微生物合成脂肪酸，以及不饱和长链脂肪酸的氢化。</w:t>
      </w:r>
      <w:r w:rsidRPr="00907FDB">
        <w:rPr>
          <w:rFonts w:ascii="Arial" w:eastAsia="宋体" w:hAnsi="Arial" w:cs="Arial"/>
          <w:color w:val="2B2B2B"/>
          <w:kern w:val="0"/>
          <w:sz w:val="32"/>
          <w:szCs w:val="32"/>
        </w:rPr>
        <w:t>Schmidely(2008)</w:t>
      </w:r>
      <w:r w:rsidRPr="00907FDB">
        <w:rPr>
          <w:rFonts w:ascii="Arial" w:eastAsia="宋体" w:hAnsi="Arial" w:cs="Arial"/>
          <w:color w:val="2B2B2B"/>
          <w:kern w:val="0"/>
          <w:sz w:val="32"/>
          <w:szCs w:val="32"/>
        </w:rPr>
        <w:t>在反刍动物脂肪酸的消化和循环代谢分析中指出，采食含有</w:t>
      </w:r>
      <w:r w:rsidRPr="00907FDB">
        <w:rPr>
          <w:rFonts w:ascii="Arial" w:eastAsia="宋体" w:hAnsi="Arial" w:cs="Arial"/>
          <w:color w:val="2B2B2B"/>
          <w:kern w:val="0"/>
          <w:sz w:val="32"/>
          <w:szCs w:val="32"/>
        </w:rPr>
        <w:t>50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120g/kg</w:t>
      </w:r>
      <w:r w:rsidRPr="00907FDB">
        <w:rPr>
          <w:rFonts w:ascii="Arial" w:eastAsia="宋体" w:hAnsi="Arial" w:cs="Arial"/>
          <w:color w:val="2B2B2B"/>
          <w:kern w:val="0"/>
          <w:sz w:val="32"/>
          <w:szCs w:val="32"/>
        </w:rPr>
        <w:t>干物质</w:t>
      </w:r>
      <w:r w:rsidRPr="00907FDB">
        <w:rPr>
          <w:rFonts w:ascii="Arial" w:eastAsia="宋体" w:hAnsi="Arial" w:cs="Arial"/>
          <w:color w:val="2B2B2B"/>
          <w:kern w:val="0"/>
          <w:sz w:val="32"/>
          <w:szCs w:val="32"/>
        </w:rPr>
        <w:t>(DM)</w:t>
      </w:r>
      <w:r w:rsidRPr="00907FDB">
        <w:rPr>
          <w:rFonts w:ascii="Arial" w:eastAsia="宋体" w:hAnsi="Arial" w:cs="Arial"/>
          <w:color w:val="2B2B2B"/>
          <w:kern w:val="0"/>
          <w:sz w:val="32"/>
          <w:szCs w:val="32"/>
        </w:rPr>
        <w:t>脂肪酸日粮时，在嘴和十二指肠之间损失的脂肪酸大约在</w:t>
      </w:r>
      <w:r w:rsidRPr="00907FDB">
        <w:rPr>
          <w:rFonts w:ascii="Arial" w:eastAsia="宋体" w:hAnsi="Arial" w:cs="Arial"/>
          <w:color w:val="2B2B2B"/>
          <w:kern w:val="0"/>
          <w:sz w:val="32"/>
          <w:szCs w:val="32"/>
        </w:rPr>
        <w:t>6%</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16%</w:t>
      </w:r>
      <w:r w:rsidRPr="00907FDB">
        <w:rPr>
          <w:rFonts w:ascii="Arial" w:eastAsia="宋体" w:hAnsi="Arial" w:cs="Arial"/>
          <w:color w:val="2B2B2B"/>
          <w:kern w:val="0"/>
          <w:sz w:val="32"/>
          <w:szCs w:val="32"/>
        </w:rPr>
        <w:t>。这些损失的脂肪酸大部分是一些可以被瘤胃吸收或是瘤胃壁代谢</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氧化</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的中链脂肪酸。但不管怎样，长链脂肪酸在瘤胃中是可以被吸收的，绝大多数长链脂肪酸是不能跟随饲料颗粒流出瘤胃的。每公斤干物质采食量中约有</w:t>
      </w:r>
      <w:r w:rsidRPr="00907FDB">
        <w:rPr>
          <w:rFonts w:ascii="Arial" w:eastAsia="宋体" w:hAnsi="Arial" w:cs="Arial"/>
          <w:color w:val="2B2B2B"/>
          <w:kern w:val="0"/>
          <w:sz w:val="32"/>
          <w:szCs w:val="32"/>
        </w:rPr>
        <w:t>10.8±3.0g</w:t>
      </w:r>
      <w:r w:rsidRPr="00907FDB">
        <w:rPr>
          <w:rFonts w:ascii="Arial" w:eastAsia="宋体" w:hAnsi="Arial" w:cs="Arial"/>
          <w:color w:val="2B2B2B"/>
          <w:kern w:val="0"/>
          <w:sz w:val="32"/>
          <w:szCs w:val="32"/>
        </w:rPr>
        <w:t>的脂肪酸会进入到十二指肠，大约有</w:t>
      </w:r>
      <w:r w:rsidRPr="00907FDB">
        <w:rPr>
          <w:rFonts w:ascii="Arial" w:eastAsia="宋体" w:hAnsi="Arial" w:cs="Arial"/>
          <w:color w:val="2B2B2B"/>
          <w:kern w:val="0"/>
          <w:sz w:val="32"/>
          <w:szCs w:val="32"/>
        </w:rPr>
        <w:t>2/3</w:t>
      </w:r>
      <w:r w:rsidRPr="00907FDB">
        <w:rPr>
          <w:rFonts w:ascii="Arial" w:eastAsia="宋体" w:hAnsi="Arial" w:cs="Arial"/>
          <w:color w:val="2B2B2B"/>
          <w:kern w:val="0"/>
          <w:sz w:val="32"/>
          <w:szCs w:val="32"/>
        </w:rPr>
        <w:t>的微生物脂肪酸来自于</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的合成。其它的一些研究</w:t>
      </w:r>
      <w:r w:rsidRPr="00907FDB">
        <w:rPr>
          <w:rFonts w:ascii="Arial" w:eastAsia="宋体" w:hAnsi="Arial" w:cs="Arial"/>
          <w:color w:val="2B2B2B"/>
          <w:kern w:val="0"/>
          <w:sz w:val="32"/>
          <w:szCs w:val="32"/>
        </w:rPr>
        <w:t>(Doreau</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Ferlay</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1994;Sauvant</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Bas</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2001)</w:t>
      </w:r>
      <w:r w:rsidRPr="00907FDB">
        <w:rPr>
          <w:rFonts w:ascii="Arial" w:eastAsia="宋体" w:hAnsi="Arial" w:cs="Arial"/>
          <w:color w:val="2B2B2B"/>
          <w:kern w:val="0"/>
          <w:sz w:val="32"/>
          <w:szCs w:val="32"/>
        </w:rPr>
        <w:t>也有相似的报道，只是在微生物脂肪酸合成量上有轻微的差异，分别为</w:t>
      </w:r>
      <w:r w:rsidRPr="00907FDB">
        <w:rPr>
          <w:rFonts w:ascii="Arial" w:eastAsia="宋体" w:hAnsi="Arial" w:cs="Arial"/>
          <w:color w:val="2B2B2B"/>
          <w:kern w:val="0"/>
          <w:sz w:val="32"/>
          <w:szCs w:val="32"/>
        </w:rPr>
        <w:t>9.69</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8.43g/kgDMI</w:t>
      </w:r>
      <w:r w:rsidRPr="00907FDB">
        <w:rPr>
          <w:rFonts w:ascii="Arial" w:eastAsia="宋体" w:hAnsi="Arial" w:cs="Arial"/>
          <w:color w:val="2B2B2B"/>
          <w:kern w:val="0"/>
          <w:sz w:val="32"/>
          <w:szCs w:val="32"/>
        </w:rPr>
        <w:t>。</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lastRenderedPageBreak/>
        <w:t xml:space="preserve">　　一些实验描述和量化了瘤胃中长链脂肪酸的氢化</w:t>
      </w:r>
      <w:r w:rsidRPr="00907FDB">
        <w:rPr>
          <w:rFonts w:ascii="Arial" w:eastAsia="宋体" w:hAnsi="Arial" w:cs="Arial"/>
          <w:color w:val="2B2B2B"/>
          <w:kern w:val="0"/>
          <w:sz w:val="32"/>
          <w:szCs w:val="32"/>
        </w:rPr>
        <w:t>(Bauman et al,2011;Buccioni,2012and Jenkins,2008)</w:t>
      </w:r>
      <w:r w:rsidRPr="00907FDB">
        <w:rPr>
          <w:rFonts w:ascii="Arial" w:eastAsia="宋体" w:hAnsi="Arial" w:cs="Arial"/>
          <w:color w:val="2B2B2B"/>
          <w:kern w:val="0"/>
          <w:sz w:val="32"/>
          <w:szCs w:val="32"/>
        </w:rPr>
        <w:t>以及彻底氢化下</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的最大生成量。不饱和长链脂肪酸的氢化使得</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的数量要远远超过采食量，同样，在只考虑饲喂和排出的情况下，</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C18:2</w:t>
      </w:r>
      <w:r w:rsidRPr="00907FDB">
        <w:rPr>
          <w:rFonts w:ascii="Arial" w:eastAsia="宋体" w:hAnsi="Arial" w:cs="Arial"/>
          <w:color w:val="2B2B2B"/>
          <w:kern w:val="0"/>
          <w:sz w:val="32"/>
          <w:szCs w:val="32"/>
        </w:rPr>
        <w:t>和亚油酸</w:t>
      </w:r>
      <w:r w:rsidRPr="00907FDB">
        <w:rPr>
          <w:rFonts w:ascii="Arial" w:eastAsia="宋体" w:hAnsi="Arial" w:cs="Arial"/>
          <w:color w:val="2B2B2B"/>
          <w:kern w:val="0"/>
          <w:sz w:val="32"/>
          <w:szCs w:val="32"/>
        </w:rPr>
        <w:t>(C18:3)</w:t>
      </w:r>
      <w:r w:rsidRPr="00907FDB">
        <w:rPr>
          <w:rFonts w:ascii="Arial" w:eastAsia="宋体" w:hAnsi="Arial" w:cs="Arial"/>
          <w:color w:val="2B2B2B"/>
          <w:kern w:val="0"/>
          <w:sz w:val="32"/>
          <w:szCs w:val="32"/>
        </w:rPr>
        <w:t>的消化率也被高估，而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的消化率则被低估。</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color w:val="2B2B2B"/>
          <w:kern w:val="0"/>
          <w:sz w:val="32"/>
          <w:szCs w:val="32"/>
        </w:rPr>
        <w:t>Lock(2006)</w:t>
      </w:r>
      <w:r w:rsidRPr="00907FDB">
        <w:rPr>
          <w:rFonts w:ascii="Arial" w:eastAsia="宋体" w:hAnsi="Arial" w:cs="Arial"/>
          <w:color w:val="2B2B2B"/>
          <w:kern w:val="0"/>
          <w:sz w:val="32"/>
          <w:szCs w:val="32"/>
        </w:rPr>
        <w:t>对泌乳期牛只的脂肪酸消化进行了综合性分析，包括关于</w:t>
      </w:r>
      <w:r w:rsidRPr="00907FDB">
        <w:rPr>
          <w:rFonts w:ascii="Arial" w:eastAsia="宋体" w:hAnsi="Arial" w:cs="Arial"/>
          <w:color w:val="2B2B2B"/>
          <w:kern w:val="0"/>
          <w:sz w:val="32"/>
          <w:szCs w:val="32"/>
        </w:rPr>
        <w:t>20</w:t>
      </w:r>
      <w:r w:rsidRPr="00907FDB">
        <w:rPr>
          <w:rFonts w:ascii="Arial" w:eastAsia="宋体" w:hAnsi="Arial" w:cs="Arial"/>
          <w:color w:val="2B2B2B"/>
          <w:kern w:val="0"/>
          <w:sz w:val="32"/>
          <w:szCs w:val="32"/>
        </w:rPr>
        <w:t>个衡量脂肪酸在十二指肠和回肠、十二指肠和粪便</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表</w:t>
      </w:r>
      <w:r w:rsidRPr="00907FDB">
        <w:rPr>
          <w:rFonts w:ascii="Arial" w:eastAsia="宋体" w:hAnsi="Arial" w:cs="Arial"/>
          <w:color w:val="2B2B2B"/>
          <w:kern w:val="0"/>
          <w:sz w:val="32"/>
          <w:szCs w:val="32"/>
        </w:rPr>
        <w:t>1)</w:t>
      </w:r>
      <w:r w:rsidRPr="00907FDB">
        <w:rPr>
          <w:rFonts w:ascii="Arial" w:eastAsia="宋体" w:hAnsi="Arial" w:cs="Arial"/>
          <w:color w:val="2B2B2B"/>
          <w:kern w:val="0"/>
          <w:sz w:val="32"/>
          <w:szCs w:val="32"/>
        </w:rPr>
        <w:t>间消化率和评估的研究，在对瘤胃内脂肪消化和流动的元分析</w:t>
      </w:r>
      <w:r w:rsidRPr="00907FDB">
        <w:rPr>
          <w:rFonts w:ascii="Arial" w:eastAsia="宋体" w:hAnsi="Arial" w:cs="Arial"/>
          <w:color w:val="2B2B2B"/>
          <w:kern w:val="0"/>
          <w:sz w:val="32"/>
          <w:szCs w:val="32"/>
        </w:rPr>
        <w:t>(meta-analysis)</w:t>
      </w:r>
      <w:r w:rsidRPr="00907FDB">
        <w:rPr>
          <w:rFonts w:ascii="Arial" w:eastAsia="宋体" w:hAnsi="Arial" w:cs="Arial"/>
          <w:color w:val="2B2B2B"/>
          <w:kern w:val="0"/>
          <w:sz w:val="32"/>
          <w:szCs w:val="32"/>
        </w:rPr>
        <w:t>中，</w:t>
      </w:r>
      <w:r w:rsidRPr="00907FDB">
        <w:rPr>
          <w:rFonts w:ascii="Arial" w:eastAsia="宋体" w:hAnsi="Arial" w:cs="Arial"/>
          <w:color w:val="2B2B2B"/>
          <w:kern w:val="0"/>
          <w:sz w:val="32"/>
          <w:szCs w:val="32"/>
        </w:rPr>
        <w:t>Glasser(2008b)</w:t>
      </w:r>
      <w:r w:rsidRPr="00907FDB">
        <w:rPr>
          <w:rFonts w:ascii="Arial" w:eastAsia="宋体" w:hAnsi="Arial" w:cs="Arial"/>
          <w:color w:val="2B2B2B"/>
          <w:kern w:val="0"/>
          <w:sz w:val="32"/>
          <w:szCs w:val="32"/>
        </w:rPr>
        <w:t>也发现了类似</w:t>
      </w:r>
      <w:r w:rsidRPr="00907FDB">
        <w:rPr>
          <w:rFonts w:ascii="Arial" w:eastAsia="宋体" w:hAnsi="Arial" w:cs="Arial"/>
          <w:color w:val="2B2B2B"/>
          <w:kern w:val="0"/>
          <w:sz w:val="32"/>
          <w:szCs w:val="32"/>
        </w:rPr>
        <w:t>Lock etal(2006)</w:t>
      </w:r>
      <w:r w:rsidRPr="00907FDB">
        <w:rPr>
          <w:rFonts w:ascii="Arial" w:eastAsia="宋体" w:hAnsi="Arial" w:cs="Arial"/>
          <w:color w:val="2B2B2B"/>
          <w:kern w:val="0"/>
          <w:sz w:val="32"/>
          <w:szCs w:val="32"/>
        </w:rPr>
        <w:t>有关</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和不饱和</w:t>
      </w:r>
      <w:r w:rsidRPr="00907FDB">
        <w:rPr>
          <w:rFonts w:ascii="Arial" w:eastAsia="宋体" w:hAnsi="Arial" w:cs="Arial"/>
          <w:color w:val="2B2B2B"/>
          <w:kern w:val="0"/>
          <w:sz w:val="32"/>
          <w:szCs w:val="32"/>
        </w:rPr>
        <w:t>C18</w:t>
      </w:r>
      <w:r w:rsidRPr="00907FDB">
        <w:rPr>
          <w:rFonts w:ascii="Arial" w:eastAsia="宋体" w:hAnsi="Arial" w:cs="Arial"/>
          <w:color w:val="2B2B2B"/>
          <w:kern w:val="0"/>
          <w:sz w:val="32"/>
          <w:szCs w:val="32"/>
        </w:rPr>
        <w:t>脂肪酸的消化值。</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color w:val="2B2B2B"/>
          <w:kern w:val="0"/>
          <w:sz w:val="32"/>
          <w:szCs w:val="32"/>
        </w:rPr>
        <w:t>表</w:t>
      </w:r>
      <w:r w:rsidRPr="00907FDB">
        <w:rPr>
          <w:rFonts w:ascii="Arial" w:eastAsia="宋体" w:hAnsi="Arial" w:cs="Arial"/>
          <w:color w:val="2B2B2B"/>
          <w:kern w:val="0"/>
          <w:sz w:val="32"/>
          <w:szCs w:val="32"/>
        </w:rPr>
        <w:t>1</w:t>
      </w:r>
      <w:r w:rsidRPr="00907FDB">
        <w:rPr>
          <w:rFonts w:ascii="Arial" w:eastAsia="宋体" w:hAnsi="Arial" w:cs="Arial"/>
          <w:color w:val="2B2B2B"/>
          <w:kern w:val="0"/>
          <w:sz w:val="32"/>
          <w:szCs w:val="32"/>
        </w:rPr>
        <w:t>十二指肠、回肠和粪便间的脂肪酸消化</w:t>
      </w:r>
    </w:p>
    <w:tbl>
      <w:tblPr>
        <w:tblW w:w="0" w:type="auto"/>
        <w:jc w:val="center"/>
        <w:shd w:val="clear" w:color="auto" w:fill="F0FEE2"/>
        <w:tblLayout w:type="fixed"/>
        <w:tblLook w:val="04A0"/>
      </w:tblPr>
      <w:tblGrid>
        <w:gridCol w:w="1809"/>
        <w:gridCol w:w="1134"/>
        <w:gridCol w:w="1985"/>
        <w:gridCol w:w="2126"/>
      </w:tblGrid>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脂肪酸</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Lock,2006</w:t>
            </w:r>
          </w:p>
        </w:tc>
        <w:tc>
          <w:tcPr>
            <w:tcW w:w="198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Glasser et al,.2008b</w:t>
            </w:r>
          </w:p>
        </w:tc>
        <w:tc>
          <w:tcPr>
            <w:tcW w:w="2126"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Doreau&amp;Chillard,2007</w:t>
            </w: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消化（ %）</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198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2126"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总计</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74</w:t>
            </w:r>
          </w:p>
        </w:tc>
        <w:tc>
          <w:tcPr>
            <w:tcW w:w="198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2126"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棕榈酸（C16:0）</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75</w:t>
            </w:r>
          </w:p>
        </w:tc>
        <w:tc>
          <w:tcPr>
            <w:tcW w:w="198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2126"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 xml:space="preserve">硬脂酸 </w:t>
            </w:r>
            <w:r w:rsidRPr="00907FDB">
              <w:rPr>
                <w:rFonts w:ascii="宋体" w:eastAsia="宋体" w:hAnsi="宋体" w:cs="宋体"/>
                <w:color w:val="000000"/>
                <w:kern w:val="0"/>
                <w:sz w:val="32"/>
                <w:szCs w:val="32"/>
              </w:rPr>
              <w:lastRenderedPageBreak/>
              <w:t>（C18:0）</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72</w:t>
            </w:r>
          </w:p>
        </w:tc>
        <w:tc>
          <w:tcPr>
            <w:tcW w:w="198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74</w:t>
            </w:r>
          </w:p>
        </w:tc>
        <w:tc>
          <w:tcPr>
            <w:tcW w:w="2126"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77</w:t>
            </w: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油酸（C18:1）</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80</w:t>
            </w:r>
          </w:p>
        </w:tc>
        <w:tc>
          <w:tcPr>
            <w:tcW w:w="198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79</w:t>
            </w:r>
          </w:p>
        </w:tc>
        <w:tc>
          <w:tcPr>
            <w:tcW w:w="2126"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85</w:t>
            </w: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亚油酸 （C18:2）</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78</w:t>
            </w:r>
          </w:p>
        </w:tc>
        <w:tc>
          <w:tcPr>
            <w:tcW w:w="198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72</w:t>
            </w:r>
          </w:p>
        </w:tc>
        <w:tc>
          <w:tcPr>
            <w:tcW w:w="2126"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83</w:t>
            </w:r>
          </w:p>
        </w:tc>
      </w:tr>
      <w:tr w:rsidR="00907FDB" w:rsidRPr="00907FDB" w:rsidTr="008302AE">
        <w:trPr>
          <w:jc w:val="center"/>
        </w:trPr>
        <w:tc>
          <w:tcPr>
            <w:tcW w:w="18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亚油酸 （C18:2）</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77</w:t>
            </w:r>
          </w:p>
        </w:tc>
        <w:tc>
          <w:tcPr>
            <w:tcW w:w="198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70</w:t>
            </w:r>
          </w:p>
        </w:tc>
        <w:tc>
          <w:tcPr>
            <w:tcW w:w="2126"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76</w:t>
            </w:r>
          </w:p>
        </w:tc>
      </w:tr>
    </w:tbl>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在</w:t>
      </w:r>
      <w:r w:rsidRPr="00907FDB">
        <w:rPr>
          <w:rFonts w:ascii="Arial" w:eastAsia="宋体" w:hAnsi="Arial" w:cs="Arial"/>
          <w:color w:val="2B2B2B"/>
          <w:kern w:val="0"/>
          <w:sz w:val="32"/>
          <w:szCs w:val="32"/>
        </w:rPr>
        <w:t>1994</w:t>
      </w:r>
      <w:r w:rsidRPr="00907FDB">
        <w:rPr>
          <w:rFonts w:ascii="Arial" w:eastAsia="宋体" w:hAnsi="Arial" w:cs="Arial"/>
          <w:color w:val="2B2B2B"/>
          <w:kern w:val="0"/>
          <w:sz w:val="32"/>
          <w:szCs w:val="32"/>
        </w:rPr>
        <w:t>年一个关于反刍动物脂肪酸消化和利用的综述中，</w:t>
      </w:r>
      <w:r w:rsidRPr="00907FDB">
        <w:rPr>
          <w:rFonts w:ascii="Arial" w:eastAsia="宋体" w:hAnsi="Arial" w:cs="Arial"/>
          <w:color w:val="2B2B2B"/>
          <w:kern w:val="0"/>
          <w:sz w:val="32"/>
          <w:szCs w:val="32"/>
        </w:rPr>
        <w:t>Doreau</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Ferlay</w:t>
      </w:r>
      <w:r w:rsidRPr="00907FDB">
        <w:rPr>
          <w:rFonts w:ascii="Arial" w:eastAsia="宋体" w:hAnsi="Arial" w:cs="Arial"/>
          <w:color w:val="2B2B2B"/>
          <w:kern w:val="0"/>
          <w:sz w:val="32"/>
          <w:szCs w:val="32"/>
        </w:rPr>
        <w:t>通过设有</w:t>
      </w:r>
      <w:r w:rsidRPr="00907FDB">
        <w:rPr>
          <w:rFonts w:ascii="Arial" w:eastAsia="宋体" w:hAnsi="Arial" w:cs="Arial"/>
          <w:color w:val="2B2B2B"/>
          <w:kern w:val="0"/>
          <w:sz w:val="32"/>
          <w:szCs w:val="32"/>
        </w:rPr>
        <w:t>64</w:t>
      </w:r>
      <w:r w:rsidRPr="00907FDB">
        <w:rPr>
          <w:rFonts w:ascii="Arial" w:eastAsia="宋体" w:hAnsi="Arial" w:cs="Arial"/>
          <w:color w:val="2B2B2B"/>
          <w:kern w:val="0"/>
          <w:sz w:val="32"/>
          <w:szCs w:val="32"/>
        </w:rPr>
        <w:t>种日粮的</w:t>
      </w:r>
      <w:r w:rsidRPr="00907FDB">
        <w:rPr>
          <w:rFonts w:ascii="Arial" w:eastAsia="宋体" w:hAnsi="Arial" w:cs="Arial"/>
          <w:color w:val="2B2B2B"/>
          <w:kern w:val="0"/>
          <w:sz w:val="32"/>
          <w:szCs w:val="32"/>
        </w:rPr>
        <w:t>15</w:t>
      </w:r>
      <w:r w:rsidRPr="00907FDB">
        <w:rPr>
          <w:rFonts w:ascii="Arial" w:eastAsia="宋体" w:hAnsi="Arial" w:cs="Arial"/>
          <w:color w:val="2B2B2B"/>
          <w:kern w:val="0"/>
          <w:sz w:val="32"/>
          <w:szCs w:val="32"/>
        </w:rPr>
        <w:t>个实验认为</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的消化率分别为</w:t>
      </w:r>
      <w:r w:rsidRPr="00907FDB">
        <w:rPr>
          <w:rFonts w:ascii="Arial" w:eastAsia="宋体" w:hAnsi="Arial" w:cs="Arial"/>
          <w:color w:val="2B2B2B"/>
          <w:kern w:val="0"/>
          <w:sz w:val="32"/>
          <w:szCs w:val="32"/>
        </w:rPr>
        <w:t>77.1%</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76.3%</w:t>
      </w:r>
      <w:r w:rsidRPr="00907FDB">
        <w:rPr>
          <w:rFonts w:ascii="Arial" w:eastAsia="宋体" w:hAnsi="Arial" w:cs="Arial"/>
          <w:color w:val="2B2B2B"/>
          <w:kern w:val="0"/>
          <w:sz w:val="32"/>
          <w:szCs w:val="32"/>
        </w:rPr>
        <w:t>。以上三个综述中关于脂肪酸消化系数的研究全部是来自于肠道消化</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十二指肠和回肠，或是十二指肠和粪便</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，而并没有排除瘤胃微生物氢化、瘤胃损失、脂肪酸合成所造成误差。因此</w:t>
      </w:r>
      <w:r w:rsidRPr="00907FDB">
        <w:rPr>
          <w:rFonts w:ascii="Arial" w:eastAsia="宋体" w:hAnsi="Arial" w:cs="Arial"/>
          <w:color w:val="2B2B2B"/>
          <w:kern w:val="0"/>
          <w:sz w:val="32"/>
          <w:szCs w:val="32"/>
        </w:rPr>
        <w:t>Lock(2006)</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Doreau</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Ferlay(1994)</w:t>
      </w:r>
      <w:r w:rsidRPr="00907FDB">
        <w:rPr>
          <w:rFonts w:ascii="Arial" w:eastAsia="宋体" w:hAnsi="Arial" w:cs="Arial"/>
          <w:color w:val="2B2B2B"/>
          <w:kern w:val="0"/>
          <w:sz w:val="32"/>
          <w:szCs w:val="32"/>
        </w:rPr>
        <w:t>认为</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或</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消化率没有显著差异，这三个综述表明长链脂肪酸消化率的差异很有可能是因为实验条件、实验设计、数据分析等差异所造成。但不管怎样，这三个综述都证明不饱和</w:t>
      </w:r>
      <w:r w:rsidRPr="00907FDB">
        <w:rPr>
          <w:rFonts w:ascii="Arial" w:eastAsia="宋体" w:hAnsi="Arial" w:cs="Arial"/>
          <w:color w:val="2B2B2B"/>
          <w:kern w:val="0"/>
          <w:sz w:val="32"/>
          <w:szCs w:val="32"/>
        </w:rPr>
        <w:t>C18</w:t>
      </w:r>
      <w:r w:rsidRPr="00907FDB">
        <w:rPr>
          <w:rFonts w:ascii="Arial" w:eastAsia="宋体" w:hAnsi="Arial" w:cs="Arial"/>
          <w:color w:val="2B2B2B"/>
          <w:kern w:val="0"/>
          <w:sz w:val="32"/>
          <w:szCs w:val="32"/>
        </w:rPr>
        <w:t>脂肪酸</w:t>
      </w:r>
      <w:r w:rsidRPr="00907FDB">
        <w:rPr>
          <w:rFonts w:ascii="Arial" w:eastAsia="宋体" w:hAnsi="Arial" w:cs="Arial"/>
          <w:color w:val="2B2B2B"/>
          <w:kern w:val="0"/>
          <w:sz w:val="32"/>
          <w:szCs w:val="32"/>
        </w:rPr>
        <w:t>(C18:2</w:t>
      </w:r>
      <w:r w:rsidRPr="00907FDB">
        <w:rPr>
          <w:rFonts w:ascii="Arial" w:eastAsia="宋体" w:hAnsi="Arial" w:cs="Arial"/>
          <w:color w:val="2B2B2B"/>
          <w:kern w:val="0"/>
          <w:sz w:val="32"/>
          <w:szCs w:val="32"/>
        </w:rPr>
        <w:t>除外</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消化率要比</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略微偏高。</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b/>
          <w:bCs/>
          <w:color w:val="2B2B2B"/>
          <w:kern w:val="0"/>
          <w:sz w:val="32"/>
          <w:szCs w:val="32"/>
        </w:rPr>
        <w:t xml:space="preserve">　进入十二指肠的脂肪酸</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流出瘤胃的脂肪酸与所采食的日粮脂肪酸是显著不同的。</w:t>
      </w:r>
      <w:r w:rsidRPr="00907FDB">
        <w:rPr>
          <w:rFonts w:ascii="Arial" w:eastAsia="宋体" w:hAnsi="Arial" w:cs="Arial"/>
          <w:color w:val="2B2B2B"/>
          <w:kern w:val="0"/>
          <w:sz w:val="32"/>
          <w:szCs w:val="32"/>
        </w:rPr>
        <w:t>Wu(1991)</w:t>
      </w:r>
      <w:r w:rsidRPr="00907FDB">
        <w:rPr>
          <w:rFonts w:ascii="Arial" w:eastAsia="宋体" w:hAnsi="Arial" w:cs="Arial"/>
          <w:color w:val="2B2B2B"/>
          <w:kern w:val="0"/>
          <w:sz w:val="32"/>
          <w:szCs w:val="32"/>
        </w:rPr>
        <w:t>证实在含有</w:t>
      </w:r>
      <w:r w:rsidRPr="00907FDB">
        <w:rPr>
          <w:rFonts w:ascii="Arial" w:eastAsia="宋体" w:hAnsi="Arial" w:cs="Arial"/>
          <w:color w:val="2B2B2B"/>
          <w:kern w:val="0"/>
          <w:sz w:val="32"/>
          <w:szCs w:val="32"/>
        </w:rPr>
        <w:t>40%</w:t>
      </w:r>
      <w:r w:rsidRPr="00907FDB">
        <w:rPr>
          <w:rFonts w:ascii="Arial" w:eastAsia="宋体" w:hAnsi="Arial" w:cs="Arial"/>
          <w:color w:val="2B2B2B"/>
          <w:kern w:val="0"/>
          <w:sz w:val="32"/>
          <w:szCs w:val="32"/>
        </w:rPr>
        <w:t>精料，苜蓿干草、半干饲草、</w:t>
      </w:r>
      <w:r w:rsidRPr="00907FDB">
        <w:rPr>
          <w:rFonts w:ascii="Arial" w:eastAsia="宋体" w:hAnsi="Arial" w:cs="Arial"/>
          <w:color w:val="2B2B2B"/>
          <w:kern w:val="0"/>
          <w:sz w:val="32"/>
          <w:szCs w:val="32"/>
        </w:rPr>
        <w:lastRenderedPageBreak/>
        <w:t>青贮的日粮条件下，每头牛每天添加</w:t>
      </w:r>
      <w:r w:rsidRPr="00907FDB">
        <w:rPr>
          <w:rFonts w:ascii="Arial" w:eastAsia="宋体" w:hAnsi="Arial" w:cs="Arial"/>
          <w:color w:val="2B2B2B"/>
          <w:kern w:val="0"/>
          <w:sz w:val="32"/>
          <w:szCs w:val="32"/>
        </w:rPr>
        <w:t>71g 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12g C18:0</w:t>
      </w:r>
      <w:r w:rsidRPr="00907FDB">
        <w:rPr>
          <w:rFonts w:ascii="Arial" w:eastAsia="宋体" w:hAnsi="Arial" w:cs="Arial"/>
          <w:color w:val="2B2B2B"/>
          <w:kern w:val="0"/>
          <w:sz w:val="32"/>
          <w:szCs w:val="32"/>
        </w:rPr>
        <w:t>时，从瘤胃流出的食糜中含有</w:t>
      </w:r>
      <w:r w:rsidRPr="00907FDB">
        <w:rPr>
          <w:rFonts w:ascii="Arial" w:eastAsia="宋体" w:hAnsi="Arial" w:cs="Arial"/>
          <w:color w:val="2B2B2B"/>
          <w:kern w:val="0"/>
          <w:sz w:val="32"/>
          <w:szCs w:val="32"/>
        </w:rPr>
        <w:t>83g</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提升了</w:t>
      </w:r>
      <w:r w:rsidRPr="00907FDB">
        <w:rPr>
          <w:rFonts w:ascii="Arial" w:eastAsia="宋体" w:hAnsi="Arial" w:cs="Arial"/>
          <w:color w:val="2B2B2B"/>
          <w:kern w:val="0"/>
          <w:sz w:val="32"/>
          <w:szCs w:val="32"/>
        </w:rPr>
        <w:t>12g/</w:t>
      </w:r>
      <w:r w:rsidRPr="00907FDB">
        <w:rPr>
          <w:rFonts w:ascii="Arial" w:eastAsia="宋体" w:hAnsi="Arial" w:cs="Arial"/>
          <w:color w:val="2B2B2B"/>
          <w:kern w:val="0"/>
          <w:sz w:val="32"/>
          <w:szCs w:val="32"/>
        </w:rPr>
        <w:t>天</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186g</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提升了</w:t>
      </w:r>
      <w:r w:rsidRPr="00907FDB">
        <w:rPr>
          <w:rFonts w:ascii="Arial" w:eastAsia="宋体" w:hAnsi="Arial" w:cs="Arial"/>
          <w:color w:val="2B2B2B"/>
          <w:kern w:val="0"/>
          <w:sz w:val="32"/>
          <w:szCs w:val="32"/>
        </w:rPr>
        <w:t>174g/</w:t>
      </w:r>
      <w:r w:rsidRPr="00907FDB">
        <w:rPr>
          <w:rFonts w:ascii="Arial" w:eastAsia="宋体" w:hAnsi="Arial" w:cs="Arial"/>
          <w:color w:val="2B2B2B"/>
          <w:kern w:val="0"/>
          <w:sz w:val="32"/>
          <w:szCs w:val="32"/>
        </w:rPr>
        <w:t>天</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，日粮</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的添加量接近于</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6</w:t>
      </w:r>
      <w:r w:rsidRPr="00907FDB">
        <w:rPr>
          <w:rFonts w:ascii="Arial" w:eastAsia="宋体" w:hAnsi="Arial" w:cs="Arial"/>
          <w:color w:val="2B2B2B"/>
          <w:kern w:val="0"/>
          <w:sz w:val="32"/>
          <w:szCs w:val="32"/>
        </w:rPr>
        <w:t>倍，而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流出瘤胃的量是</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2.5</w:t>
      </w:r>
      <w:r w:rsidRPr="00907FDB">
        <w:rPr>
          <w:rFonts w:ascii="Arial" w:eastAsia="宋体" w:hAnsi="Arial" w:cs="Arial"/>
          <w:color w:val="2B2B2B"/>
          <w:kern w:val="0"/>
          <w:sz w:val="32"/>
          <w:szCs w:val="32"/>
        </w:rPr>
        <w:t>倍，这要归功于不饱和脂肪酸的微生物氢化作用。</w:t>
      </w:r>
      <w:r w:rsidRPr="00907FDB">
        <w:rPr>
          <w:rFonts w:ascii="Arial" w:eastAsia="宋体" w:hAnsi="Arial" w:cs="Arial"/>
          <w:color w:val="2B2B2B"/>
          <w:kern w:val="0"/>
          <w:sz w:val="32"/>
          <w:szCs w:val="32"/>
        </w:rPr>
        <w:t>Schmidley(2008)</w:t>
      </w:r>
      <w:r w:rsidRPr="00907FDB">
        <w:rPr>
          <w:rFonts w:ascii="Arial" w:eastAsia="宋体" w:hAnsi="Arial" w:cs="Arial"/>
          <w:color w:val="2B2B2B"/>
          <w:kern w:val="0"/>
          <w:sz w:val="32"/>
          <w:szCs w:val="32"/>
        </w:rPr>
        <w:t>也证实当添加混合脂肪酸时进入到十二指肠的</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量是</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3</w:t>
      </w:r>
      <w:r w:rsidRPr="00907FDB">
        <w:rPr>
          <w:rFonts w:ascii="Arial" w:eastAsia="宋体" w:hAnsi="Arial" w:cs="Arial"/>
          <w:color w:val="2B2B2B"/>
          <w:kern w:val="0"/>
          <w:sz w:val="32"/>
          <w:szCs w:val="32"/>
        </w:rPr>
        <w:t>倍多。当日粮中没有鱼粉时，进入到十二指肠的脂肪酸中硬脂酸是</w:t>
      </w:r>
      <w:r w:rsidRPr="00907FDB">
        <w:rPr>
          <w:rFonts w:ascii="Arial" w:eastAsia="宋体" w:hAnsi="Arial" w:cs="Arial"/>
          <w:color w:val="2B2B2B"/>
          <w:kern w:val="0"/>
          <w:sz w:val="32"/>
          <w:szCs w:val="32"/>
        </w:rPr>
        <w:t>C18</w:t>
      </w:r>
      <w:r w:rsidRPr="00907FDB">
        <w:rPr>
          <w:rFonts w:ascii="Arial" w:eastAsia="宋体" w:hAnsi="Arial" w:cs="Arial"/>
          <w:color w:val="2B2B2B"/>
          <w:kern w:val="0"/>
          <w:sz w:val="32"/>
          <w:szCs w:val="32"/>
        </w:rPr>
        <w:t>脂肪酸的主要成分，大约占到</w:t>
      </w:r>
      <w:r w:rsidRPr="00907FDB">
        <w:rPr>
          <w:rFonts w:ascii="Arial" w:eastAsia="宋体" w:hAnsi="Arial" w:cs="Arial"/>
          <w:color w:val="2B2B2B"/>
          <w:kern w:val="0"/>
          <w:sz w:val="32"/>
          <w:szCs w:val="32"/>
        </w:rPr>
        <w:t>69.5%</w:t>
      </w:r>
      <w:r w:rsidRPr="00907FDB">
        <w:rPr>
          <w:rFonts w:ascii="Arial" w:eastAsia="宋体" w:hAnsi="Arial" w:cs="Arial"/>
          <w:color w:val="2B2B2B"/>
          <w:kern w:val="0"/>
          <w:sz w:val="32"/>
          <w:szCs w:val="32"/>
        </w:rPr>
        <w:t>，当将鱼粉</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不饱和长链脂肪酸</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加入到日粮中时，硬脂酸降低至</w:t>
      </w:r>
      <w:r w:rsidRPr="00907FDB">
        <w:rPr>
          <w:rFonts w:ascii="Arial" w:eastAsia="宋体" w:hAnsi="Arial" w:cs="Arial"/>
          <w:color w:val="2B2B2B"/>
          <w:kern w:val="0"/>
          <w:sz w:val="32"/>
          <w:szCs w:val="32"/>
        </w:rPr>
        <w:t>34.1%</w:t>
      </w:r>
      <w:r w:rsidRPr="00907FDB">
        <w:rPr>
          <w:rFonts w:ascii="Arial" w:eastAsia="宋体" w:hAnsi="Arial" w:cs="Arial"/>
          <w:color w:val="2B2B2B"/>
          <w:kern w:val="0"/>
          <w:sz w:val="32"/>
          <w:szCs w:val="32"/>
        </w:rPr>
        <w:t>，而反式</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含量最高，达</w:t>
      </w:r>
      <w:r w:rsidRPr="00907FDB">
        <w:rPr>
          <w:rFonts w:ascii="Arial" w:eastAsia="宋体" w:hAnsi="Arial" w:cs="Arial"/>
          <w:color w:val="2B2B2B"/>
          <w:kern w:val="0"/>
          <w:sz w:val="32"/>
          <w:szCs w:val="32"/>
        </w:rPr>
        <w:t>44.7%(Glasser at al.</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2008b)</w:t>
      </w:r>
      <w:r w:rsidRPr="00907FDB">
        <w:rPr>
          <w:rFonts w:ascii="Arial" w:eastAsia="宋体" w:hAnsi="Arial" w:cs="Arial"/>
          <w:color w:val="2B2B2B"/>
          <w:kern w:val="0"/>
          <w:sz w:val="32"/>
          <w:szCs w:val="32"/>
        </w:rPr>
        <w:t>。如表</w:t>
      </w:r>
      <w:r w:rsidRPr="00907FDB">
        <w:rPr>
          <w:rFonts w:ascii="Arial" w:eastAsia="宋体" w:hAnsi="Arial" w:cs="Arial"/>
          <w:color w:val="2B2B2B"/>
          <w:kern w:val="0"/>
          <w:sz w:val="32"/>
          <w:szCs w:val="32"/>
        </w:rPr>
        <w:t>2</w:t>
      </w:r>
      <w:r w:rsidRPr="00907FDB">
        <w:rPr>
          <w:rFonts w:ascii="Arial" w:eastAsia="宋体" w:hAnsi="Arial" w:cs="Arial"/>
          <w:color w:val="2B2B2B"/>
          <w:kern w:val="0"/>
          <w:sz w:val="32"/>
          <w:szCs w:val="32"/>
        </w:rPr>
        <w:t>表示</w:t>
      </w:r>
      <w:r w:rsidRPr="00907FDB">
        <w:rPr>
          <w:rFonts w:ascii="Arial" w:eastAsia="宋体" w:hAnsi="Arial" w:cs="Arial"/>
          <w:color w:val="2B2B2B"/>
          <w:kern w:val="0"/>
          <w:sz w:val="32"/>
          <w:szCs w:val="32"/>
        </w:rPr>
        <w:t>40%</w:t>
      </w:r>
      <w:r w:rsidRPr="00907FDB">
        <w:rPr>
          <w:rFonts w:ascii="Arial" w:eastAsia="宋体" w:hAnsi="Arial" w:cs="Arial"/>
          <w:color w:val="2B2B2B"/>
          <w:kern w:val="0"/>
          <w:sz w:val="32"/>
          <w:szCs w:val="32"/>
        </w:rPr>
        <w:t>精料日粮中不添加脂肪</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对照组</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、添加瘤胃惰性脂肪酸、动植物混合脂肪</w:t>
      </w:r>
      <w:r w:rsidRPr="00907FDB">
        <w:rPr>
          <w:rFonts w:ascii="Arial" w:eastAsia="宋体" w:hAnsi="Arial" w:cs="Arial"/>
          <w:color w:val="2B2B2B"/>
          <w:kern w:val="0"/>
          <w:sz w:val="32"/>
          <w:szCs w:val="32"/>
        </w:rPr>
        <w:t>(AV1)</w:t>
      </w:r>
      <w:r w:rsidRPr="00907FDB">
        <w:rPr>
          <w:rFonts w:ascii="Arial" w:eastAsia="宋体" w:hAnsi="Arial" w:cs="Arial"/>
          <w:color w:val="2B2B2B"/>
          <w:kern w:val="0"/>
          <w:sz w:val="32"/>
          <w:szCs w:val="32"/>
        </w:rPr>
        <w:t>时脂肪酸采食和瘤胃流出量。</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color w:val="2B2B2B"/>
          <w:kern w:val="0"/>
          <w:sz w:val="32"/>
          <w:szCs w:val="32"/>
        </w:rPr>
        <w:t>表</w:t>
      </w:r>
      <w:r w:rsidRPr="00907FDB">
        <w:rPr>
          <w:rFonts w:ascii="Arial" w:eastAsia="宋体" w:hAnsi="Arial" w:cs="Arial"/>
          <w:color w:val="2B2B2B"/>
          <w:kern w:val="0"/>
          <w:sz w:val="32"/>
          <w:szCs w:val="32"/>
        </w:rPr>
        <w:t xml:space="preserve">2 </w:t>
      </w:r>
      <w:r w:rsidRPr="00907FDB">
        <w:rPr>
          <w:rFonts w:ascii="Arial" w:eastAsia="宋体" w:hAnsi="Arial" w:cs="Arial"/>
          <w:color w:val="2B2B2B"/>
          <w:kern w:val="0"/>
          <w:sz w:val="32"/>
          <w:szCs w:val="32"/>
        </w:rPr>
        <w:t>日粮和脂肪添加量</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克</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天</w:t>
      </w:r>
      <w:r w:rsidRPr="00907FDB">
        <w:rPr>
          <w:rFonts w:ascii="Arial" w:eastAsia="宋体" w:hAnsi="Arial" w:cs="Arial"/>
          <w:color w:val="2B2B2B"/>
          <w:kern w:val="0"/>
          <w:sz w:val="32"/>
          <w:szCs w:val="32"/>
        </w:rPr>
        <w:t xml:space="preserve">) </w:t>
      </w:r>
    </w:p>
    <w:tbl>
      <w:tblPr>
        <w:tblW w:w="0" w:type="auto"/>
        <w:jc w:val="center"/>
        <w:shd w:val="clear" w:color="auto" w:fill="C7F8A6"/>
        <w:tblLook w:val="04A0"/>
      </w:tblPr>
      <w:tblGrid>
        <w:gridCol w:w="1246"/>
        <w:gridCol w:w="705"/>
        <w:gridCol w:w="709"/>
        <w:gridCol w:w="1750"/>
        <w:gridCol w:w="1134"/>
      </w:tblGrid>
      <w:tr w:rsidR="00907FDB" w:rsidRPr="00907FDB" w:rsidTr="008302AE">
        <w:trPr>
          <w:trHeight w:val="266"/>
          <w:jc w:val="center"/>
        </w:trPr>
        <w:tc>
          <w:tcPr>
            <w:tcW w:w="1246"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脂肪酸</w:t>
            </w:r>
          </w:p>
        </w:tc>
        <w:tc>
          <w:tcPr>
            <w:tcW w:w="70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对照</w:t>
            </w:r>
          </w:p>
        </w:tc>
        <w:tc>
          <w:tcPr>
            <w:tcW w:w="17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瘤胃惰性脂肪酸</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AV1混合</w:t>
            </w:r>
          </w:p>
        </w:tc>
      </w:tr>
      <w:tr w:rsidR="00907FDB" w:rsidRPr="00907FDB" w:rsidTr="008302AE">
        <w:trPr>
          <w:jc w:val="center"/>
        </w:trPr>
        <w:tc>
          <w:tcPr>
            <w:tcW w:w="1246"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C16:0</w:t>
            </w:r>
          </w:p>
        </w:tc>
        <w:tc>
          <w:tcPr>
            <w:tcW w:w="70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采食</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71</w:t>
            </w:r>
          </w:p>
        </w:tc>
        <w:tc>
          <w:tcPr>
            <w:tcW w:w="17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400</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165</w:t>
            </w:r>
          </w:p>
        </w:tc>
      </w:tr>
      <w:tr w:rsidR="00907FDB" w:rsidRPr="00907FDB" w:rsidTr="008302AE">
        <w:trPr>
          <w:jc w:val="center"/>
        </w:trPr>
        <w:tc>
          <w:tcPr>
            <w:tcW w:w="1246"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70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流出</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83</w:t>
            </w:r>
          </w:p>
        </w:tc>
        <w:tc>
          <w:tcPr>
            <w:tcW w:w="17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313</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152</w:t>
            </w:r>
          </w:p>
        </w:tc>
      </w:tr>
      <w:tr w:rsidR="00907FDB" w:rsidRPr="00907FDB" w:rsidTr="008302AE">
        <w:trPr>
          <w:jc w:val="center"/>
        </w:trPr>
        <w:tc>
          <w:tcPr>
            <w:tcW w:w="1246" w:type="dxa"/>
            <w:vMerge w:val="restart"/>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C18:0</w:t>
            </w:r>
          </w:p>
        </w:tc>
        <w:tc>
          <w:tcPr>
            <w:tcW w:w="70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采</w:t>
            </w:r>
            <w:r w:rsidRPr="00907FDB">
              <w:rPr>
                <w:rFonts w:ascii="宋体" w:eastAsia="宋体" w:hAnsi="宋体" w:cs="宋体"/>
                <w:color w:val="000000"/>
                <w:kern w:val="0"/>
                <w:sz w:val="32"/>
                <w:szCs w:val="32"/>
              </w:rPr>
              <w:lastRenderedPageBreak/>
              <w:t>食</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12</w:t>
            </w:r>
          </w:p>
        </w:tc>
        <w:tc>
          <w:tcPr>
            <w:tcW w:w="17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39</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104</w:t>
            </w:r>
          </w:p>
        </w:tc>
      </w:tr>
      <w:tr w:rsidR="00907FDB" w:rsidRPr="00907FDB" w:rsidTr="008302AE">
        <w:trPr>
          <w:jc w:val="center"/>
        </w:trPr>
        <w:tc>
          <w:tcPr>
            <w:tcW w:w="0" w:type="auto"/>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70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流出</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186</w:t>
            </w:r>
          </w:p>
        </w:tc>
        <w:tc>
          <w:tcPr>
            <w:tcW w:w="17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254</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410</w:t>
            </w:r>
          </w:p>
        </w:tc>
      </w:tr>
      <w:tr w:rsidR="00907FDB" w:rsidRPr="00907FDB" w:rsidTr="008302AE">
        <w:trPr>
          <w:jc w:val="center"/>
        </w:trPr>
        <w:tc>
          <w:tcPr>
            <w:tcW w:w="1246" w:type="dxa"/>
            <w:vMerge w:val="restart"/>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C18:1</w:t>
            </w:r>
          </w:p>
        </w:tc>
        <w:tc>
          <w:tcPr>
            <w:tcW w:w="70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采食</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79</w:t>
            </w:r>
          </w:p>
        </w:tc>
        <w:tc>
          <w:tcPr>
            <w:tcW w:w="17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308</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297</w:t>
            </w:r>
          </w:p>
        </w:tc>
      </w:tr>
      <w:tr w:rsidR="00907FDB" w:rsidRPr="00907FDB" w:rsidTr="008302AE">
        <w:trPr>
          <w:jc w:val="center"/>
        </w:trPr>
        <w:tc>
          <w:tcPr>
            <w:tcW w:w="0" w:type="auto"/>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705"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流出</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60</w:t>
            </w:r>
          </w:p>
        </w:tc>
        <w:tc>
          <w:tcPr>
            <w:tcW w:w="17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158</w:t>
            </w:r>
          </w:p>
        </w:tc>
        <w:tc>
          <w:tcPr>
            <w:tcW w:w="1134"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126</w:t>
            </w:r>
          </w:p>
        </w:tc>
      </w:tr>
      <w:tr w:rsidR="00907FDB" w:rsidRPr="00907FDB" w:rsidTr="008302AE">
        <w:trPr>
          <w:jc w:val="center"/>
        </w:trPr>
        <w:tc>
          <w:tcPr>
            <w:tcW w:w="1246" w:type="dxa"/>
            <w:vMerge w:val="restart"/>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总脂肪酸</w:t>
            </w:r>
          </w:p>
        </w:tc>
        <w:tc>
          <w:tcPr>
            <w:tcW w:w="70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采食</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431</w:t>
            </w:r>
          </w:p>
        </w:tc>
        <w:tc>
          <w:tcPr>
            <w:tcW w:w="17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1052</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934</w:t>
            </w:r>
          </w:p>
        </w:tc>
      </w:tr>
      <w:tr w:rsidR="00907FDB" w:rsidRPr="00907FDB" w:rsidTr="008302AE">
        <w:trPr>
          <w:jc w:val="center"/>
        </w:trPr>
        <w:tc>
          <w:tcPr>
            <w:tcW w:w="0" w:type="auto"/>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705"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流出</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402</w:t>
            </w:r>
          </w:p>
        </w:tc>
        <w:tc>
          <w:tcPr>
            <w:tcW w:w="17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837</w:t>
            </w:r>
          </w:p>
        </w:tc>
        <w:tc>
          <w:tcPr>
            <w:tcW w:w="1134"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810</w:t>
            </w:r>
          </w:p>
        </w:tc>
      </w:tr>
    </w:tbl>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摘自</w:t>
      </w:r>
      <w:r w:rsidRPr="00907FDB">
        <w:rPr>
          <w:rFonts w:ascii="Arial" w:eastAsia="宋体" w:hAnsi="Arial" w:cs="Arial"/>
          <w:color w:val="2B2B2B"/>
          <w:kern w:val="0"/>
          <w:sz w:val="32"/>
          <w:szCs w:val="32"/>
        </w:rPr>
        <w:t>Wu,1991.(</w:t>
      </w:r>
      <w:r w:rsidRPr="00907FDB">
        <w:rPr>
          <w:rFonts w:ascii="Arial" w:eastAsia="宋体" w:hAnsi="Arial" w:cs="Arial"/>
          <w:color w:val="2B2B2B"/>
          <w:kern w:val="0"/>
          <w:sz w:val="32"/>
          <w:szCs w:val="32"/>
        </w:rPr>
        <w:t>瘤胃惰性脂肪酸和动</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植物混合脂肪添加量分别为日粮干物质采食量的</w:t>
      </w:r>
      <w:r w:rsidRPr="00907FDB">
        <w:rPr>
          <w:rFonts w:ascii="Arial" w:eastAsia="宋体" w:hAnsi="Arial" w:cs="Arial"/>
          <w:color w:val="2B2B2B"/>
          <w:kern w:val="0"/>
          <w:sz w:val="32"/>
          <w:szCs w:val="32"/>
        </w:rPr>
        <w:t>3</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6%</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color w:val="2B2B2B"/>
          <w:kern w:val="0"/>
          <w:sz w:val="32"/>
          <w:szCs w:val="32"/>
        </w:rPr>
        <w:t>Schmidley(2008)</w:t>
      </w:r>
      <w:r w:rsidRPr="00907FDB">
        <w:rPr>
          <w:rFonts w:ascii="Arial" w:eastAsia="宋体" w:hAnsi="Arial" w:cs="Arial"/>
          <w:color w:val="2B2B2B"/>
          <w:kern w:val="0"/>
          <w:sz w:val="32"/>
          <w:szCs w:val="32"/>
        </w:rPr>
        <w:t>发现随着脂肪酸链长度的增加，其在肠道中的消化率也在升高，</w:t>
      </w:r>
      <w:r w:rsidRPr="00907FDB">
        <w:rPr>
          <w:rFonts w:ascii="Arial" w:eastAsia="宋体" w:hAnsi="Arial" w:cs="Arial"/>
          <w:color w:val="2B2B2B"/>
          <w:kern w:val="0"/>
          <w:sz w:val="32"/>
          <w:szCs w:val="32"/>
        </w:rPr>
        <w:t>C16</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w:t>
      </w:r>
      <w:r w:rsidRPr="00907FDB">
        <w:rPr>
          <w:rFonts w:ascii="Arial" w:eastAsia="宋体" w:hAnsi="Arial" w:cs="Arial"/>
          <w:color w:val="2B2B2B"/>
          <w:kern w:val="0"/>
          <w:sz w:val="32"/>
          <w:szCs w:val="32"/>
        </w:rPr>
        <w:t>的消化率分别为</w:t>
      </w:r>
      <w:r w:rsidRPr="00907FDB">
        <w:rPr>
          <w:rFonts w:ascii="Arial" w:eastAsia="宋体" w:hAnsi="Arial" w:cs="Arial"/>
          <w:color w:val="2B2B2B"/>
          <w:kern w:val="0"/>
          <w:sz w:val="32"/>
          <w:szCs w:val="32"/>
        </w:rPr>
        <w:t>74.6</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73.4%</w:t>
      </w:r>
      <w:r w:rsidRPr="00907FDB">
        <w:rPr>
          <w:rFonts w:ascii="Arial" w:eastAsia="宋体" w:hAnsi="Arial" w:cs="Arial"/>
          <w:color w:val="2B2B2B"/>
          <w:kern w:val="0"/>
          <w:sz w:val="32"/>
          <w:szCs w:val="32"/>
        </w:rPr>
        <w:t>，进入十二指肠的</w:t>
      </w:r>
      <w:r w:rsidRPr="00907FDB">
        <w:rPr>
          <w:rFonts w:ascii="Arial" w:eastAsia="宋体" w:hAnsi="Arial" w:cs="Arial"/>
          <w:color w:val="2B2B2B"/>
          <w:kern w:val="0"/>
          <w:sz w:val="32"/>
          <w:szCs w:val="32"/>
        </w:rPr>
        <w:t>C12-C16</w:t>
      </w:r>
      <w:r w:rsidRPr="00907FDB">
        <w:rPr>
          <w:rFonts w:ascii="Arial" w:eastAsia="宋体" w:hAnsi="Arial" w:cs="Arial"/>
          <w:color w:val="2B2B2B"/>
          <w:kern w:val="0"/>
          <w:sz w:val="32"/>
          <w:szCs w:val="32"/>
        </w:rPr>
        <w:t>脂肪酸也存在线性吸收率。</w:t>
      </w:r>
      <w:r w:rsidRPr="00907FDB">
        <w:rPr>
          <w:rFonts w:ascii="Arial" w:eastAsia="宋体" w:hAnsi="Arial" w:cs="Arial"/>
          <w:color w:val="2B2B2B"/>
          <w:kern w:val="0"/>
          <w:sz w:val="32"/>
          <w:szCs w:val="32"/>
        </w:rPr>
        <w:t>Schmidley(2008)</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Glasser(2008b)</w:t>
      </w:r>
      <w:r w:rsidRPr="00907FDB">
        <w:rPr>
          <w:rFonts w:ascii="Arial" w:eastAsia="宋体" w:hAnsi="Arial" w:cs="Arial"/>
          <w:color w:val="2B2B2B"/>
          <w:kern w:val="0"/>
          <w:sz w:val="32"/>
          <w:szCs w:val="32"/>
        </w:rPr>
        <w:t>用同样的数据分析发现进入十二指肠的</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超过</w:t>
      </w:r>
      <w:r w:rsidRPr="00907FDB">
        <w:rPr>
          <w:rFonts w:ascii="Arial" w:eastAsia="宋体" w:hAnsi="Arial" w:cs="Arial"/>
          <w:color w:val="2B2B2B"/>
          <w:kern w:val="0"/>
          <w:sz w:val="32"/>
          <w:szCs w:val="32"/>
        </w:rPr>
        <w:t>50g/kg DMI</w:t>
      </w:r>
      <w:r w:rsidRPr="00907FDB">
        <w:rPr>
          <w:rFonts w:ascii="Arial" w:eastAsia="宋体" w:hAnsi="Arial" w:cs="Arial"/>
          <w:color w:val="2B2B2B"/>
          <w:kern w:val="0"/>
          <w:sz w:val="32"/>
          <w:szCs w:val="32"/>
        </w:rPr>
        <w:t>时，表观吸收呈现下降趋势。</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肠道吸收公式为：</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color w:val="FF0000"/>
          <w:kern w:val="0"/>
          <w:sz w:val="32"/>
          <w:szCs w:val="32"/>
        </w:rPr>
        <w:t>18:0</w:t>
      </w:r>
      <w:r w:rsidRPr="00907FDB">
        <w:rPr>
          <w:rFonts w:ascii="Arial" w:eastAsia="宋体" w:hAnsi="Arial" w:cs="Arial"/>
          <w:color w:val="FF0000"/>
          <w:kern w:val="0"/>
          <w:sz w:val="32"/>
          <w:szCs w:val="32"/>
        </w:rPr>
        <w:t>吸收</w:t>
      </w:r>
      <w:r w:rsidRPr="00907FDB">
        <w:rPr>
          <w:rFonts w:ascii="Arial" w:eastAsia="宋体" w:hAnsi="Arial" w:cs="Arial"/>
          <w:color w:val="FF0000"/>
          <w:kern w:val="0"/>
          <w:sz w:val="32"/>
          <w:szCs w:val="32"/>
        </w:rPr>
        <w:t>(g/kgDMI)=0.84x18:0</w:t>
      </w:r>
      <w:r w:rsidRPr="00907FDB">
        <w:rPr>
          <w:rFonts w:ascii="Arial" w:eastAsia="宋体" w:hAnsi="Arial" w:cs="Arial"/>
          <w:color w:val="FF0000"/>
          <w:kern w:val="0"/>
          <w:sz w:val="32"/>
          <w:szCs w:val="32"/>
        </w:rPr>
        <w:t>十二指肠</w:t>
      </w:r>
      <w:r w:rsidRPr="00907FDB">
        <w:rPr>
          <w:rFonts w:ascii="Arial" w:eastAsia="宋体" w:hAnsi="Arial" w:cs="Arial"/>
          <w:color w:val="FF0000"/>
          <w:kern w:val="0"/>
          <w:sz w:val="32"/>
          <w:szCs w:val="32"/>
        </w:rPr>
        <w:t>–0.0044x18:02</w:t>
      </w:r>
      <w:r w:rsidRPr="00907FDB">
        <w:rPr>
          <w:rFonts w:ascii="Arial" w:eastAsia="宋体" w:hAnsi="Arial" w:cs="Arial"/>
          <w:color w:val="FF0000"/>
          <w:kern w:val="0"/>
          <w:sz w:val="32"/>
          <w:szCs w:val="32"/>
        </w:rPr>
        <w:t>十二指肠</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lastRenderedPageBreak/>
        <w:t xml:space="preserve">　　关于高脂肪酸十二指肠食糜中</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的吸收率下降的原因还不清楚，但应该与维持组织和乳脂中的脂肪酸稳定有一定的相关性。</w:t>
      </w:r>
      <w:r w:rsidRPr="00907FDB">
        <w:rPr>
          <w:rFonts w:ascii="Arial" w:eastAsia="宋体" w:hAnsi="Arial" w:cs="Arial"/>
          <w:color w:val="2B2B2B"/>
          <w:kern w:val="0"/>
          <w:sz w:val="32"/>
          <w:szCs w:val="32"/>
        </w:rPr>
        <w:t>Glasser(2008b)</w:t>
      </w:r>
      <w:r w:rsidRPr="00907FDB">
        <w:rPr>
          <w:rFonts w:ascii="Arial" w:eastAsia="宋体" w:hAnsi="Arial" w:cs="Arial"/>
          <w:color w:val="2B2B2B"/>
          <w:kern w:val="0"/>
          <w:sz w:val="32"/>
          <w:szCs w:val="32"/>
        </w:rPr>
        <w:t>发现随着十二指肠食糜</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和其他</w:t>
      </w:r>
      <w:r w:rsidRPr="00907FDB">
        <w:rPr>
          <w:rFonts w:ascii="Arial" w:eastAsia="宋体" w:hAnsi="Arial" w:cs="Arial"/>
          <w:color w:val="2B2B2B"/>
          <w:kern w:val="0"/>
          <w:sz w:val="32"/>
          <w:szCs w:val="32"/>
        </w:rPr>
        <w:t>C18</w:t>
      </w:r>
      <w:r w:rsidRPr="00907FDB">
        <w:rPr>
          <w:rFonts w:ascii="Arial" w:eastAsia="宋体" w:hAnsi="Arial" w:cs="Arial"/>
          <w:color w:val="2B2B2B"/>
          <w:kern w:val="0"/>
          <w:sz w:val="32"/>
          <w:szCs w:val="32"/>
        </w:rPr>
        <w:t>脂肪酸的升高，奶中的</w:t>
      </w:r>
      <w:r w:rsidRPr="00907FDB">
        <w:rPr>
          <w:rFonts w:ascii="Arial" w:eastAsia="宋体" w:hAnsi="Arial" w:cs="Arial"/>
          <w:color w:val="2B2B2B"/>
          <w:kern w:val="0"/>
          <w:sz w:val="32"/>
          <w:szCs w:val="32"/>
        </w:rPr>
        <w:t>C4-C16</w:t>
      </w:r>
      <w:r w:rsidRPr="00907FDB">
        <w:rPr>
          <w:rFonts w:ascii="Arial" w:eastAsia="宋体" w:hAnsi="Arial" w:cs="Arial"/>
          <w:color w:val="2B2B2B"/>
          <w:kern w:val="0"/>
          <w:sz w:val="32"/>
          <w:szCs w:val="32"/>
        </w:rPr>
        <w:t>脂肪酸含量出现线性下降。由于从瘤胃中流出的</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量是其他脂肪酸的</w:t>
      </w:r>
      <w:r w:rsidRPr="00907FDB">
        <w:rPr>
          <w:rFonts w:ascii="Arial" w:eastAsia="宋体" w:hAnsi="Arial" w:cs="Arial"/>
          <w:color w:val="2B2B2B"/>
          <w:kern w:val="0"/>
          <w:sz w:val="32"/>
          <w:szCs w:val="32"/>
        </w:rPr>
        <w:t>3</w:t>
      </w:r>
      <w:r w:rsidRPr="00907FDB">
        <w:rPr>
          <w:rFonts w:ascii="Arial" w:eastAsia="宋体" w:hAnsi="Arial" w:cs="Arial"/>
          <w:color w:val="2B2B2B"/>
          <w:kern w:val="0"/>
          <w:sz w:val="32"/>
          <w:szCs w:val="32"/>
        </w:rPr>
        <w:t>倍还要多，这就使得十二指肠中需要有相应的调节机制来调整</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的大量吸收。在十二指肠高食糜中限制</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吸收的可能机制或生理过程包括肠道</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吸收位点的饱和度</w:t>
      </w:r>
      <w:r w:rsidRPr="00907FDB">
        <w:rPr>
          <w:rFonts w:ascii="Arial" w:eastAsia="宋体" w:hAnsi="Arial" w:cs="Arial"/>
          <w:color w:val="2B2B2B"/>
          <w:kern w:val="0"/>
          <w:sz w:val="32"/>
          <w:szCs w:val="32"/>
        </w:rPr>
        <w:t>(Kucuk,2004)</w:t>
      </w:r>
      <w:r w:rsidRPr="00907FDB">
        <w:rPr>
          <w:rFonts w:ascii="Arial" w:eastAsia="宋体" w:hAnsi="Arial" w:cs="Arial"/>
          <w:color w:val="2B2B2B"/>
          <w:kern w:val="0"/>
          <w:sz w:val="32"/>
          <w:szCs w:val="32"/>
        </w:rPr>
        <w:t>，降低饱和脂肪酸的胶束状态</w:t>
      </w:r>
      <w:r w:rsidRPr="00907FDB">
        <w:rPr>
          <w:rFonts w:ascii="Arial" w:eastAsia="宋体" w:hAnsi="Arial" w:cs="Arial"/>
          <w:color w:val="2B2B2B"/>
          <w:kern w:val="0"/>
          <w:sz w:val="32"/>
          <w:szCs w:val="32"/>
        </w:rPr>
        <w:t>(Doreau,1992)</w:t>
      </w:r>
      <w:r w:rsidRPr="00907FDB">
        <w:rPr>
          <w:rFonts w:ascii="Arial" w:eastAsia="宋体" w:hAnsi="Arial" w:cs="Arial"/>
          <w:color w:val="2B2B2B"/>
          <w:kern w:val="0"/>
          <w:sz w:val="32"/>
          <w:szCs w:val="32"/>
        </w:rPr>
        <w:t>，或是减慢饱和脂肪酸形成甘油三酯来降低吸收率</w:t>
      </w:r>
      <w:r w:rsidRPr="00907FDB">
        <w:rPr>
          <w:rFonts w:ascii="Arial" w:eastAsia="宋体" w:hAnsi="Arial" w:cs="Arial"/>
          <w:color w:val="2B2B2B"/>
          <w:kern w:val="0"/>
          <w:sz w:val="32"/>
          <w:szCs w:val="32"/>
        </w:rPr>
        <w:t>(Glasser</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2008b)</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Freeman(1969)</w:t>
      </w:r>
      <w:r w:rsidRPr="00907FDB">
        <w:rPr>
          <w:rFonts w:ascii="Arial" w:eastAsia="宋体" w:hAnsi="Arial" w:cs="Arial"/>
          <w:color w:val="2B2B2B"/>
          <w:kern w:val="0"/>
          <w:sz w:val="32"/>
          <w:szCs w:val="32"/>
        </w:rPr>
        <w:t>发现溶血卵磷脂</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脂肪酸乳化剂</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对</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形成胶束状有显著的效果，这非常有助于反刍动物对长链饱和脂肪酸的吸收。反刍动物会有相应的调节机制来消化和吸收离开瘤胃的</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和其他长链脂肪酸。在高脂肪酸食糜中硬脂酸有较低的吸收率仅能说明会有更多的硬脂酸存在于小肠中，但其吸收量要比其他脂肪酸都要高。</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b/>
          <w:bCs/>
          <w:color w:val="2B2B2B"/>
          <w:kern w:val="0"/>
          <w:sz w:val="32"/>
          <w:szCs w:val="32"/>
        </w:rPr>
        <w:t>棕榈酸和硬脂酸的中间代谢途径</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脂肪是反刍动物的一种能量来源，但牛只如何代谢和利用取决于脂肪中脂肪酸的组成。脂肪酸并不是都能用于维持牛只健康、奶量、繁殖或生长。长链不饱和脂肪酸更多的被用于繁殖</w:t>
      </w:r>
      <w:r w:rsidRPr="00907FDB">
        <w:rPr>
          <w:rFonts w:ascii="Arial" w:eastAsia="宋体" w:hAnsi="Arial" w:cs="Arial"/>
          <w:color w:val="2B2B2B"/>
          <w:kern w:val="0"/>
          <w:sz w:val="32"/>
          <w:szCs w:val="32"/>
        </w:rPr>
        <w:t>(Santos2008)</w:t>
      </w:r>
      <w:r w:rsidRPr="00907FDB">
        <w:rPr>
          <w:rFonts w:ascii="Arial" w:eastAsia="宋体" w:hAnsi="Arial" w:cs="Arial"/>
          <w:color w:val="2B2B2B"/>
          <w:kern w:val="0"/>
          <w:sz w:val="32"/>
          <w:szCs w:val="32"/>
        </w:rPr>
        <w:t>，短链饱和脂肪酸主要用于乳脂合成</w:t>
      </w:r>
      <w:r w:rsidRPr="00907FDB">
        <w:rPr>
          <w:rFonts w:ascii="Arial" w:eastAsia="宋体" w:hAnsi="Arial" w:cs="Arial"/>
          <w:color w:val="2B2B2B"/>
          <w:kern w:val="0"/>
          <w:sz w:val="32"/>
          <w:szCs w:val="32"/>
        </w:rPr>
        <w:lastRenderedPageBreak/>
        <w:t>和奶量。虽然</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化学性非常相似，都是饱和的，仅仅相差</w:t>
      </w:r>
      <w:r w:rsidRPr="00907FDB">
        <w:rPr>
          <w:rFonts w:ascii="Arial" w:eastAsia="宋体" w:hAnsi="Arial" w:cs="Arial"/>
          <w:color w:val="2B2B2B"/>
          <w:kern w:val="0"/>
          <w:sz w:val="32"/>
          <w:szCs w:val="32"/>
        </w:rPr>
        <w:t>2</w:t>
      </w:r>
      <w:r w:rsidRPr="00907FDB">
        <w:rPr>
          <w:rFonts w:ascii="Arial" w:eastAsia="宋体" w:hAnsi="Arial" w:cs="Arial"/>
          <w:color w:val="2B2B2B"/>
          <w:kern w:val="0"/>
          <w:sz w:val="32"/>
          <w:szCs w:val="32"/>
        </w:rPr>
        <w:t>个碳单元，但它们在奶牛体内的代谢却截然不同。</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在动物体组织中都能发现</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Douglas(2007)</w:t>
      </w:r>
      <w:r w:rsidRPr="00907FDB">
        <w:rPr>
          <w:rFonts w:ascii="Arial" w:eastAsia="宋体" w:hAnsi="Arial" w:cs="Arial"/>
          <w:color w:val="2B2B2B"/>
          <w:kern w:val="0"/>
          <w:sz w:val="32"/>
          <w:szCs w:val="32"/>
        </w:rPr>
        <w:t>发现在不同组织和不同泌奶阶段</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的代谢和浓度是不同的</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表</w:t>
      </w:r>
      <w:r w:rsidRPr="00907FDB">
        <w:rPr>
          <w:rFonts w:ascii="Arial" w:eastAsia="宋体" w:hAnsi="Arial" w:cs="Arial"/>
          <w:color w:val="2B2B2B"/>
          <w:kern w:val="0"/>
          <w:sz w:val="32"/>
          <w:szCs w:val="32"/>
        </w:rPr>
        <w:t>3)</w:t>
      </w:r>
      <w:r w:rsidRPr="00907FDB">
        <w:rPr>
          <w:rFonts w:ascii="Arial" w:eastAsia="宋体" w:hAnsi="Arial" w:cs="Arial"/>
          <w:color w:val="2B2B2B"/>
          <w:kern w:val="0"/>
          <w:sz w:val="32"/>
          <w:szCs w:val="32"/>
        </w:rPr>
        <w:t>。在干奶牛的脂肪组织中，</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的含量要比</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低，而</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要比</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低</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重量百分比</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。当十二指肠食糜中</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浓度比</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浓度偏低时，脂肪组织中</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的升高源自脂肪细胞中</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的脱氢。在干奶期间这三种脂肪酸在血浆中的百分含量是相似的，但在分娩和能量负平衡期间，</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含量上升，而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含量有所降低。但在干奶期肝脏甘油三酸脂中三种脂肪酸的浓度相类似，而分娩后</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上升，</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下降，</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保持稳定</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表</w:t>
      </w:r>
      <w:r w:rsidRPr="00907FDB">
        <w:rPr>
          <w:rFonts w:ascii="Arial" w:eastAsia="宋体" w:hAnsi="Arial" w:cs="Arial"/>
          <w:color w:val="2B2B2B"/>
          <w:kern w:val="0"/>
          <w:sz w:val="32"/>
          <w:szCs w:val="32"/>
        </w:rPr>
        <w:t>3)</w:t>
      </w:r>
      <w:r w:rsidRPr="00907FDB">
        <w:rPr>
          <w:rFonts w:ascii="Arial" w:eastAsia="宋体" w:hAnsi="Arial" w:cs="Arial"/>
          <w:color w:val="2B2B2B"/>
          <w:kern w:val="0"/>
          <w:sz w:val="32"/>
          <w:szCs w:val="32"/>
        </w:rPr>
        <w:t>。</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w:t>
      </w:r>
      <w:r w:rsidRPr="00907FDB">
        <w:rPr>
          <w:rFonts w:ascii="Arial" w:eastAsia="宋体" w:hAnsi="Arial" w:cs="Arial"/>
          <w:color w:val="2B2B2B"/>
          <w:kern w:val="0"/>
          <w:sz w:val="32"/>
          <w:szCs w:val="32"/>
        </w:rPr>
        <w:t>Rukkwamsuk(2000)</w:t>
      </w:r>
      <w:r w:rsidRPr="00907FDB">
        <w:rPr>
          <w:rFonts w:ascii="Arial" w:eastAsia="宋体" w:hAnsi="Arial" w:cs="Arial"/>
          <w:color w:val="2B2B2B"/>
          <w:kern w:val="0"/>
          <w:sz w:val="32"/>
          <w:szCs w:val="32"/>
        </w:rPr>
        <w:t>研究了干奶期间在限能饲养和自由采食条件下奶牛脂肪组织、血浆、肝脏的脂肪酸组成。产后</w:t>
      </w:r>
      <w:r w:rsidRPr="00907FDB">
        <w:rPr>
          <w:rFonts w:ascii="Arial" w:eastAsia="宋体" w:hAnsi="Arial" w:cs="Arial"/>
          <w:color w:val="2B2B2B"/>
          <w:kern w:val="0"/>
          <w:sz w:val="32"/>
          <w:szCs w:val="32"/>
        </w:rPr>
        <w:t>3</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4</w:t>
      </w:r>
      <w:r w:rsidRPr="00907FDB">
        <w:rPr>
          <w:rFonts w:ascii="Arial" w:eastAsia="宋体" w:hAnsi="Arial" w:cs="Arial"/>
          <w:color w:val="2B2B2B"/>
          <w:kern w:val="0"/>
          <w:sz w:val="32"/>
          <w:szCs w:val="32"/>
        </w:rPr>
        <w:t>天脂肪组织中的脂肪酸作用与</w:t>
      </w:r>
      <w:r w:rsidRPr="00907FDB">
        <w:rPr>
          <w:rFonts w:ascii="Arial" w:eastAsia="宋体" w:hAnsi="Arial" w:cs="Arial"/>
          <w:color w:val="2B2B2B"/>
          <w:kern w:val="0"/>
          <w:sz w:val="32"/>
          <w:szCs w:val="32"/>
        </w:rPr>
        <w:t>Douglas(2007)</w:t>
      </w:r>
      <w:r w:rsidRPr="00907FDB">
        <w:rPr>
          <w:rFonts w:ascii="Arial" w:eastAsia="宋体" w:hAnsi="Arial" w:cs="Arial"/>
          <w:color w:val="2B2B2B"/>
          <w:kern w:val="0"/>
          <w:sz w:val="32"/>
          <w:szCs w:val="32"/>
        </w:rPr>
        <w:t>研究结果相似。在更早的一个研究限能和高能日粮对干奶牛脂肪肝的实验中，都发现产后两周牛只肝脏中</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浓度急剧上升，与限能日粮相比，高能日粮条件下肝脏</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浓度迅速升高，限能日粮条件下肝脏</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水平恢复到产前水平要在产后</w:t>
      </w:r>
      <w:r w:rsidRPr="00907FDB">
        <w:rPr>
          <w:rFonts w:ascii="Arial" w:eastAsia="宋体" w:hAnsi="Arial" w:cs="Arial"/>
          <w:color w:val="2B2B2B"/>
          <w:kern w:val="0"/>
          <w:sz w:val="32"/>
          <w:szCs w:val="32"/>
        </w:rPr>
        <w:t>6</w:t>
      </w:r>
      <w:r w:rsidRPr="00907FDB">
        <w:rPr>
          <w:rFonts w:ascii="Arial" w:eastAsia="宋体" w:hAnsi="Arial" w:cs="Arial"/>
          <w:color w:val="2B2B2B"/>
          <w:kern w:val="0"/>
          <w:sz w:val="32"/>
          <w:szCs w:val="32"/>
        </w:rPr>
        <w:t>周，而高能日粮则仍会维持在高水平。相反的，</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在产</w:t>
      </w:r>
      <w:r w:rsidRPr="00907FDB">
        <w:rPr>
          <w:rFonts w:ascii="Arial" w:eastAsia="宋体" w:hAnsi="Arial" w:cs="Arial"/>
          <w:color w:val="2B2B2B"/>
          <w:kern w:val="0"/>
          <w:sz w:val="32"/>
          <w:szCs w:val="32"/>
        </w:rPr>
        <w:lastRenderedPageBreak/>
        <w:t>后</w:t>
      </w:r>
      <w:r w:rsidRPr="00907FDB">
        <w:rPr>
          <w:rFonts w:ascii="Arial" w:eastAsia="宋体" w:hAnsi="Arial" w:cs="Arial"/>
          <w:color w:val="2B2B2B"/>
          <w:kern w:val="0"/>
          <w:sz w:val="32"/>
          <w:szCs w:val="32"/>
        </w:rPr>
        <w:t>2</w:t>
      </w:r>
      <w:r w:rsidRPr="00907FDB">
        <w:rPr>
          <w:rFonts w:ascii="Arial" w:eastAsia="宋体" w:hAnsi="Arial" w:cs="Arial"/>
          <w:color w:val="2B2B2B"/>
          <w:kern w:val="0"/>
          <w:sz w:val="32"/>
          <w:szCs w:val="32"/>
        </w:rPr>
        <w:t>周会急剧下降，然后在产后</w:t>
      </w:r>
      <w:r w:rsidRPr="00907FDB">
        <w:rPr>
          <w:rFonts w:ascii="Arial" w:eastAsia="宋体" w:hAnsi="Arial" w:cs="Arial"/>
          <w:color w:val="2B2B2B"/>
          <w:kern w:val="0"/>
          <w:sz w:val="32"/>
          <w:szCs w:val="32"/>
        </w:rPr>
        <w:t>2</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6</w:t>
      </w:r>
      <w:r w:rsidRPr="00907FDB">
        <w:rPr>
          <w:rFonts w:ascii="Arial" w:eastAsia="宋体" w:hAnsi="Arial" w:cs="Arial"/>
          <w:color w:val="2B2B2B"/>
          <w:kern w:val="0"/>
          <w:sz w:val="32"/>
          <w:szCs w:val="32"/>
        </w:rPr>
        <w:t>周内慢慢恢复到产前水平。这些实验都表明不同的饲养方式并不会影响脂肪组织中脂肪酸的组成，但在过度脂解期间</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能量负平衡</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，血液中</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的浓度都会升高，并且除</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外，在肝脏中都会积累。</w:t>
      </w:r>
      <w:r w:rsidRPr="00907FDB">
        <w:rPr>
          <w:rFonts w:ascii="Arial" w:eastAsia="宋体" w:hAnsi="Arial" w:cs="Arial"/>
          <w:color w:val="2B2B2B"/>
          <w:kern w:val="0"/>
          <w:sz w:val="32"/>
          <w:szCs w:val="32"/>
        </w:rPr>
        <w:t>Sato&amp;Inoue(2006)</w:t>
      </w:r>
      <w:r w:rsidRPr="00907FDB">
        <w:rPr>
          <w:rFonts w:ascii="Arial" w:eastAsia="宋体" w:hAnsi="Arial" w:cs="Arial"/>
          <w:color w:val="2B2B2B"/>
          <w:kern w:val="0"/>
          <w:sz w:val="32"/>
          <w:szCs w:val="32"/>
        </w:rPr>
        <w:t>也发现了相似的变化，随着分娩，脂肪肝奶牛的肝脏、脂肪组织、会阴组织中</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浓度上升，而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在肝脏和脂肪组织中会下降。这些数据都表明</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可以被肝脏转化成能量，例如氧化、或是以</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的形式大量进入到奶中，因此很少在肝脏中堆积。</w:t>
      </w:r>
    </w:p>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color w:val="2B2B2B"/>
          <w:kern w:val="0"/>
          <w:sz w:val="32"/>
          <w:szCs w:val="32"/>
        </w:rPr>
        <w:t>表</w:t>
      </w:r>
      <w:r w:rsidRPr="00907FDB">
        <w:rPr>
          <w:rFonts w:ascii="Arial" w:eastAsia="宋体" w:hAnsi="Arial" w:cs="Arial"/>
          <w:color w:val="2B2B2B"/>
          <w:kern w:val="0"/>
          <w:sz w:val="32"/>
          <w:szCs w:val="32"/>
        </w:rPr>
        <w:t xml:space="preserve"> 3 </w:t>
      </w:r>
      <w:r w:rsidRPr="00907FDB">
        <w:rPr>
          <w:rFonts w:ascii="Arial" w:eastAsia="宋体" w:hAnsi="Arial" w:cs="Arial"/>
          <w:color w:val="2B2B2B"/>
          <w:kern w:val="0"/>
          <w:sz w:val="32"/>
          <w:szCs w:val="32"/>
        </w:rPr>
        <w:t>牛只产前、产后常规组织中的脂肪酸组成</w:t>
      </w:r>
      <w:r w:rsidRPr="00907FDB">
        <w:rPr>
          <w:rFonts w:ascii="Arial" w:eastAsia="宋体" w:hAnsi="Arial" w:cs="Arial"/>
          <w:color w:val="2B2B2B"/>
          <w:kern w:val="0"/>
          <w:sz w:val="32"/>
          <w:szCs w:val="32"/>
        </w:rPr>
        <w:t xml:space="preserve"> </w:t>
      </w:r>
    </w:p>
    <w:tbl>
      <w:tblPr>
        <w:tblW w:w="0" w:type="auto"/>
        <w:jc w:val="center"/>
        <w:shd w:val="clear" w:color="auto" w:fill="C7F8A6"/>
        <w:tblLayout w:type="fixed"/>
        <w:tblLook w:val="04A0"/>
      </w:tblPr>
      <w:tblGrid>
        <w:gridCol w:w="959"/>
        <w:gridCol w:w="850"/>
        <w:gridCol w:w="709"/>
        <w:gridCol w:w="709"/>
        <w:gridCol w:w="709"/>
        <w:gridCol w:w="708"/>
      </w:tblGrid>
      <w:tr w:rsidR="00907FDB" w:rsidRPr="00907FDB" w:rsidTr="008302AE">
        <w:trPr>
          <w:jc w:val="center"/>
        </w:trPr>
        <w:tc>
          <w:tcPr>
            <w:tcW w:w="95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2835" w:type="dxa"/>
            <w:gridSpan w:val="4"/>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分娩天数 g FA/100 g</w:t>
            </w:r>
          </w:p>
        </w:tc>
      </w:tr>
      <w:tr w:rsidR="00907FDB" w:rsidRPr="00907FDB" w:rsidTr="008302AE">
        <w:trPr>
          <w:trHeight w:val="241"/>
          <w:jc w:val="center"/>
        </w:trPr>
        <w:tc>
          <w:tcPr>
            <w:tcW w:w="95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组织</w:t>
            </w:r>
          </w:p>
        </w:tc>
        <w:tc>
          <w:tcPr>
            <w:tcW w:w="8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-45</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21</w:t>
            </w:r>
          </w:p>
        </w:tc>
        <w:tc>
          <w:tcPr>
            <w:tcW w:w="708"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45</w:t>
            </w:r>
          </w:p>
        </w:tc>
      </w:tr>
      <w:tr w:rsidR="00907FDB" w:rsidRPr="00907FDB" w:rsidTr="008302AE">
        <w:trPr>
          <w:trHeight w:val="189"/>
          <w:jc w:val="center"/>
        </w:trPr>
        <w:tc>
          <w:tcPr>
            <w:tcW w:w="959" w:type="dxa"/>
            <w:vMerge w:val="restart"/>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line="189" w:lineRule="atLeast"/>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脂肪</w:t>
            </w: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line="189" w:lineRule="atLeast"/>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C16:0</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line="189" w:lineRule="atLeast"/>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27.0</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line="189" w:lineRule="atLeast"/>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27.5</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708"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r>
      <w:tr w:rsidR="00907FDB" w:rsidRPr="00907FDB" w:rsidTr="008302AE">
        <w:trPr>
          <w:jc w:val="center"/>
        </w:trPr>
        <w:tc>
          <w:tcPr>
            <w:tcW w:w="959" w:type="dxa"/>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C18:0</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10.7</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10.8</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708"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r>
      <w:tr w:rsidR="00907FDB" w:rsidRPr="00907FDB" w:rsidTr="008302AE">
        <w:trPr>
          <w:jc w:val="center"/>
        </w:trPr>
        <w:tc>
          <w:tcPr>
            <w:tcW w:w="959" w:type="dxa"/>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C18:1</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49.4</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48.9</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c>
          <w:tcPr>
            <w:tcW w:w="708"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Arial" w:eastAsia="宋体" w:hAnsi="Arial" w:cs="Arial"/>
                <w:color w:val="828282"/>
                <w:kern w:val="0"/>
                <w:sz w:val="32"/>
                <w:szCs w:val="32"/>
              </w:rPr>
            </w:pPr>
          </w:p>
        </w:tc>
      </w:tr>
      <w:tr w:rsidR="00907FDB" w:rsidRPr="00907FDB" w:rsidTr="008302AE">
        <w:trPr>
          <w:trHeight w:val="286"/>
          <w:jc w:val="center"/>
        </w:trPr>
        <w:tc>
          <w:tcPr>
            <w:tcW w:w="959" w:type="dxa"/>
            <w:vMerge w:val="restart"/>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肝脏</w:t>
            </w:r>
            <w:r w:rsidRPr="00907FDB">
              <w:rPr>
                <w:rFonts w:ascii="宋体" w:eastAsia="宋体" w:hAnsi="宋体" w:cs="宋体"/>
                <w:color w:val="000000"/>
                <w:kern w:val="0"/>
                <w:sz w:val="32"/>
                <w:szCs w:val="32"/>
              </w:rPr>
              <w:lastRenderedPageBreak/>
              <w:t>–甘油三酯</w:t>
            </w:r>
          </w:p>
        </w:tc>
        <w:tc>
          <w:tcPr>
            <w:tcW w:w="8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C16</w:t>
            </w:r>
            <w:r w:rsidRPr="00907FDB">
              <w:rPr>
                <w:rFonts w:ascii="宋体" w:eastAsia="宋体" w:hAnsi="宋体" w:cs="宋体"/>
                <w:color w:val="000000"/>
                <w:kern w:val="0"/>
                <w:sz w:val="32"/>
                <w:szCs w:val="32"/>
              </w:rPr>
              <w:lastRenderedPageBreak/>
              <w:t>:0</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26.</w:t>
            </w:r>
            <w:r w:rsidRPr="00907FDB">
              <w:rPr>
                <w:rFonts w:ascii="宋体" w:eastAsia="宋体" w:hAnsi="宋体" w:cs="宋体"/>
                <w:color w:val="000000"/>
                <w:kern w:val="0"/>
                <w:sz w:val="32"/>
                <w:szCs w:val="32"/>
              </w:rPr>
              <w:lastRenderedPageBreak/>
              <w:t>8</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42.</w:t>
            </w:r>
            <w:r w:rsidRPr="00907FDB">
              <w:rPr>
                <w:rFonts w:ascii="宋体" w:eastAsia="宋体" w:hAnsi="宋体" w:cs="宋体"/>
                <w:color w:val="000000"/>
                <w:kern w:val="0"/>
                <w:sz w:val="32"/>
                <w:szCs w:val="32"/>
              </w:rPr>
              <w:lastRenderedPageBreak/>
              <w:t>3</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39.</w:t>
            </w:r>
            <w:r w:rsidRPr="00907FDB">
              <w:rPr>
                <w:rFonts w:ascii="宋体" w:eastAsia="宋体" w:hAnsi="宋体" w:cs="宋体"/>
                <w:color w:val="000000"/>
                <w:kern w:val="0"/>
                <w:sz w:val="32"/>
                <w:szCs w:val="32"/>
              </w:rPr>
              <w:lastRenderedPageBreak/>
              <w:t>0</w:t>
            </w:r>
          </w:p>
        </w:tc>
        <w:tc>
          <w:tcPr>
            <w:tcW w:w="708"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lastRenderedPageBreak/>
              <w:t>26.</w:t>
            </w:r>
            <w:r w:rsidRPr="00907FDB">
              <w:rPr>
                <w:rFonts w:ascii="宋体" w:eastAsia="宋体" w:hAnsi="宋体" w:cs="宋体"/>
                <w:color w:val="000000"/>
                <w:kern w:val="0"/>
                <w:sz w:val="32"/>
                <w:szCs w:val="32"/>
              </w:rPr>
              <w:lastRenderedPageBreak/>
              <w:t>0</w:t>
            </w:r>
          </w:p>
        </w:tc>
      </w:tr>
      <w:tr w:rsidR="00907FDB" w:rsidRPr="00907FDB" w:rsidTr="008302AE">
        <w:trPr>
          <w:jc w:val="center"/>
        </w:trPr>
        <w:tc>
          <w:tcPr>
            <w:tcW w:w="959" w:type="dxa"/>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C18:0</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25.5</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10.6</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12.2</w:t>
            </w:r>
          </w:p>
        </w:tc>
        <w:tc>
          <w:tcPr>
            <w:tcW w:w="708"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24.7</w:t>
            </w:r>
          </w:p>
        </w:tc>
      </w:tr>
      <w:tr w:rsidR="00907FDB" w:rsidRPr="00907FDB" w:rsidTr="008302AE">
        <w:trPr>
          <w:trHeight w:val="270"/>
          <w:jc w:val="center"/>
        </w:trPr>
        <w:tc>
          <w:tcPr>
            <w:tcW w:w="959" w:type="dxa"/>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C18:1</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24.7</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27.4</w:t>
            </w:r>
          </w:p>
        </w:tc>
        <w:tc>
          <w:tcPr>
            <w:tcW w:w="709"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27.4</w:t>
            </w:r>
          </w:p>
        </w:tc>
        <w:tc>
          <w:tcPr>
            <w:tcW w:w="708" w:type="dxa"/>
            <w:tcBorders>
              <w:top w:val="single" w:sz="6" w:space="0" w:color="A8DAF8"/>
              <w:left w:val="single" w:sz="6" w:space="0" w:color="A8DAF8"/>
              <w:bottom w:val="single" w:sz="6" w:space="0" w:color="A8DAF8"/>
              <w:right w:val="single" w:sz="6" w:space="0" w:color="A8DAF8"/>
            </w:tcBorders>
            <w:shd w:val="clear" w:color="auto" w:fill="F0FEE2"/>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17.4</w:t>
            </w:r>
          </w:p>
        </w:tc>
      </w:tr>
      <w:tr w:rsidR="00907FDB" w:rsidRPr="00907FDB" w:rsidTr="008302AE">
        <w:trPr>
          <w:jc w:val="center"/>
        </w:trPr>
        <w:tc>
          <w:tcPr>
            <w:tcW w:w="959" w:type="dxa"/>
            <w:vMerge w:val="restart"/>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血浆</w:t>
            </w: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C16:0</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16.7</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18.2</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14.5</w:t>
            </w:r>
          </w:p>
        </w:tc>
        <w:tc>
          <w:tcPr>
            <w:tcW w:w="708"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12.2</w:t>
            </w:r>
          </w:p>
        </w:tc>
      </w:tr>
      <w:tr w:rsidR="00907FDB" w:rsidRPr="00907FDB" w:rsidTr="008302AE">
        <w:trPr>
          <w:jc w:val="center"/>
        </w:trPr>
        <w:tc>
          <w:tcPr>
            <w:tcW w:w="959" w:type="dxa"/>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C18:0</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16.5</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15.6</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13.9</w:t>
            </w:r>
          </w:p>
        </w:tc>
        <w:tc>
          <w:tcPr>
            <w:tcW w:w="708"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13.7</w:t>
            </w:r>
          </w:p>
        </w:tc>
      </w:tr>
      <w:tr w:rsidR="00907FDB" w:rsidRPr="00907FDB" w:rsidTr="008302AE">
        <w:trPr>
          <w:trHeight w:val="269"/>
          <w:jc w:val="center"/>
        </w:trPr>
        <w:tc>
          <w:tcPr>
            <w:tcW w:w="959" w:type="dxa"/>
            <w:vMerge/>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jc w:val="left"/>
              <w:rPr>
                <w:rFonts w:ascii="宋体" w:eastAsia="宋体" w:hAnsi="宋体" w:cs="宋体"/>
                <w:color w:val="828282"/>
                <w:kern w:val="0"/>
                <w:sz w:val="32"/>
                <w:szCs w:val="32"/>
              </w:rPr>
            </w:pPr>
          </w:p>
        </w:tc>
        <w:tc>
          <w:tcPr>
            <w:tcW w:w="850"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C18:1</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18.0</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19.6</w:t>
            </w:r>
          </w:p>
        </w:tc>
        <w:tc>
          <w:tcPr>
            <w:tcW w:w="709"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20.0</w:t>
            </w:r>
          </w:p>
        </w:tc>
        <w:tc>
          <w:tcPr>
            <w:tcW w:w="708" w:type="dxa"/>
            <w:tcBorders>
              <w:top w:val="single" w:sz="6" w:space="0" w:color="A8DAF8"/>
              <w:left w:val="single" w:sz="6" w:space="0" w:color="A8DAF8"/>
              <w:bottom w:val="single" w:sz="6" w:space="0" w:color="A8DAF8"/>
              <w:right w:val="single" w:sz="6" w:space="0" w:color="A8DAF8"/>
            </w:tcBorders>
            <w:shd w:val="clear" w:color="auto" w:fill="C7F8A6"/>
            <w:vAlign w:val="center"/>
            <w:hideMark/>
          </w:tcPr>
          <w:p w:rsidR="00907FDB" w:rsidRPr="00907FDB" w:rsidRDefault="00907FDB" w:rsidP="008302AE">
            <w:pPr>
              <w:widowControl/>
              <w:spacing w:before="100" w:beforeAutospacing="1" w:after="100" w:afterAutospacing="1"/>
              <w:jc w:val="center"/>
              <w:rPr>
                <w:rFonts w:ascii="宋体" w:eastAsia="宋体" w:hAnsi="宋体" w:cs="宋体"/>
                <w:color w:val="828282"/>
                <w:kern w:val="0"/>
                <w:sz w:val="32"/>
                <w:szCs w:val="32"/>
              </w:rPr>
            </w:pPr>
            <w:r w:rsidRPr="00907FDB">
              <w:rPr>
                <w:rFonts w:ascii="宋体" w:eastAsia="宋体" w:hAnsi="宋体" w:cs="宋体"/>
                <w:color w:val="000000"/>
                <w:kern w:val="0"/>
                <w:sz w:val="32"/>
                <w:szCs w:val="32"/>
              </w:rPr>
              <w:t>14.4</w:t>
            </w:r>
          </w:p>
        </w:tc>
      </w:tr>
    </w:tbl>
    <w:p w:rsidR="00907FDB" w:rsidRPr="00907FDB" w:rsidRDefault="00907FDB" w:rsidP="00907FD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摘自</w:t>
      </w:r>
      <w:r w:rsidRPr="00907FDB">
        <w:rPr>
          <w:rFonts w:ascii="Arial" w:eastAsia="宋体" w:hAnsi="Arial" w:cs="Arial"/>
          <w:color w:val="2B2B2B"/>
          <w:kern w:val="0"/>
          <w:sz w:val="32"/>
          <w:szCs w:val="32"/>
        </w:rPr>
        <w:t>Douglas,2007.</w:t>
      </w:r>
    </w:p>
    <w:p w:rsidR="00907FDB" w:rsidRPr="00907FDB" w:rsidRDefault="00907FDB" w:rsidP="00907FD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07FDB">
        <w:rPr>
          <w:rFonts w:ascii="Arial" w:eastAsia="宋体" w:hAnsi="Arial" w:cs="Arial"/>
          <w:color w:val="2B2B2B"/>
          <w:kern w:val="0"/>
          <w:sz w:val="32"/>
          <w:szCs w:val="32"/>
        </w:rPr>
        <w:t xml:space="preserve">　　能量负平衡期间，</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在肝脏和其他组织中通过</w:t>
      </w:r>
      <w:r w:rsidRPr="00907FDB">
        <w:rPr>
          <w:rFonts w:ascii="Arial" w:eastAsia="宋体" w:hAnsi="Arial" w:cs="Arial"/>
          <w:color w:val="2B2B2B"/>
          <w:kern w:val="0"/>
          <w:sz w:val="32"/>
          <w:szCs w:val="32"/>
        </w:rPr>
        <w:t>β-</w:t>
      </w:r>
      <w:r w:rsidRPr="00907FDB">
        <w:rPr>
          <w:rFonts w:ascii="Arial" w:eastAsia="宋体" w:hAnsi="Arial" w:cs="Arial"/>
          <w:color w:val="2B2B2B"/>
          <w:kern w:val="0"/>
          <w:sz w:val="32"/>
          <w:szCs w:val="32"/>
        </w:rPr>
        <w:t>氧化为细胞代谢产生能量和提高能量利用率。细胞中脂肪酸的</w:t>
      </w:r>
      <w:r w:rsidRPr="00907FDB">
        <w:rPr>
          <w:rFonts w:ascii="Arial" w:eastAsia="宋体" w:hAnsi="Arial" w:cs="Arial"/>
          <w:color w:val="2B2B2B"/>
          <w:kern w:val="0"/>
          <w:sz w:val="32"/>
          <w:szCs w:val="32"/>
        </w:rPr>
        <w:t>β</w:t>
      </w:r>
      <w:r w:rsidRPr="00907FDB">
        <w:rPr>
          <w:rFonts w:ascii="Arial" w:eastAsia="宋体" w:hAnsi="Arial" w:cs="Arial"/>
          <w:color w:val="2B2B2B"/>
          <w:kern w:val="0"/>
          <w:sz w:val="32"/>
          <w:szCs w:val="32"/>
        </w:rPr>
        <w:t>氧化产生三磷酸腺甙</w:t>
      </w:r>
      <w:r w:rsidRPr="00907FDB">
        <w:rPr>
          <w:rFonts w:ascii="Arial" w:eastAsia="宋体" w:hAnsi="Arial" w:cs="Arial"/>
          <w:color w:val="2B2B2B"/>
          <w:kern w:val="0"/>
          <w:sz w:val="32"/>
          <w:szCs w:val="32"/>
        </w:rPr>
        <w:t>(ATP)</w:t>
      </w:r>
      <w:r w:rsidRPr="00907FDB">
        <w:rPr>
          <w:rFonts w:ascii="Arial" w:eastAsia="宋体" w:hAnsi="Arial" w:cs="Arial"/>
          <w:color w:val="2B2B2B"/>
          <w:kern w:val="0"/>
          <w:sz w:val="32"/>
          <w:szCs w:val="32"/>
        </w:rPr>
        <w:t>，这种能量可用于细胞代谢和其他生命活动。</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β-</w:t>
      </w:r>
      <w:r w:rsidRPr="00907FDB">
        <w:rPr>
          <w:rFonts w:ascii="Arial" w:eastAsia="宋体" w:hAnsi="Arial" w:cs="Arial"/>
          <w:color w:val="2B2B2B"/>
          <w:kern w:val="0"/>
          <w:sz w:val="32"/>
          <w:szCs w:val="32"/>
        </w:rPr>
        <w:t>氧化可以产生</w:t>
      </w:r>
      <w:r w:rsidRPr="00907FDB">
        <w:rPr>
          <w:rFonts w:ascii="Arial" w:eastAsia="宋体" w:hAnsi="Arial" w:cs="Arial"/>
          <w:color w:val="2B2B2B"/>
          <w:kern w:val="0"/>
          <w:sz w:val="32"/>
          <w:szCs w:val="32"/>
        </w:rPr>
        <w:t>120 ATP</w:t>
      </w:r>
      <w:r w:rsidRPr="00907FDB">
        <w:rPr>
          <w:rFonts w:ascii="Arial" w:eastAsia="宋体" w:hAnsi="Arial" w:cs="Arial"/>
          <w:color w:val="2B2B2B"/>
          <w:kern w:val="0"/>
          <w:sz w:val="32"/>
          <w:szCs w:val="32"/>
        </w:rPr>
        <w:t>，而</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可以产生</w:t>
      </w:r>
      <w:r w:rsidRPr="00907FDB">
        <w:rPr>
          <w:rFonts w:ascii="Arial" w:eastAsia="宋体" w:hAnsi="Arial" w:cs="Arial"/>
          <w:color w:val="2B2B2B"/>
          <w:kern w:val="0"/>
          <w:sz w:val="32"/>
          <w:szCs w:val="32"/>
        </w:rPr>
        <w:t>106 ATP(</w:t>
      </w:r>
      <w:r w:rsidRPr="00907FDB">
        <w:rPr>
          <w:rFonts w:ascii="Arial" w:eastAsia="宋体" w:hAnsi="Arial" w:cs="Arial"/>
          <w:color w:val="2B2B2B"/>
          <w:kern w:val="0"/>
          <w:sz w:val="32"/>
          <w:szCs w:val="32"/>
        </w:rPr>
        <w:t>生物化学</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第六版</w:t>
      </w:r>
      <w:r w:rsidRPr="00907FDB">
        <w:rPr>
          <w:rFonts w:ascii="Arial" w:eastAsia="宋体" w:hAnsi="Arial" w:cs="Arial"/>
          <w:color w:val="2B2B2B"/>
          <w:kern w:val="0"/>
          <w:sz w:val="32"/>
          <w:szCs w:val="32"/>
        </w:rPr>
        <w:t>2007)</w:t>
      </w:r>
      <w:r w:rsidRPr="00907FDB">
        <w:rPr>
          <w:rFonts w:ascii="Arial" w:eastAsia="宋体" w:hAnsi="Arial" w:cs="Arial"/>
          <w:color w:val="2B2B2B"/>
          <w:kern w:val="0"/>
          <w:sz w:val="32"/>
          <w:szCs w:val="32"/>
        </w:rPr>
        <w:t>，因此，牛只在能量需求较大的情况下会倾向于</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的氧化，这也解释了为什么在</w:t>
      </w:r>
      <w:r w:rsidRPr="00907FDB">
        <w:rPr>
          <w:rFonts w:ascii="Arial" w:eastAsia="宋体" w:hAnsi="Arial" w:cs="Arial"/>
          <w:color w:val="2B2B2B"/>
          <w:kern w:val="0"/>
          <w:sz w:val="32"/>
          <w:szCs w:val="32"/>
        </w:rPr>
        <w:t>Douglas(2007)</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Rukkwamsuk(1999 and 2000)</w:t>
      </w:r>
      <w:r w:rsidRPr="00907FDB">
        <w:rPr>
          <w:rFonts w:ascii="Arial" w:eastAsia="宋体" w:hAnsi="Arial" w:cs="Arial"/>
          <w:color w:val="2B2B2B"/>
          <w:kern w:val="0"/>
          <w:sz w:val="32"/>
          <w:szCs w:val="32"/>
        </w:rPr>
        <w:t>的研究中牛只肝脏中会有</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的积累。</w:t>
      </w:r>
    </w:p>
    <w:p w:rsidR="007D621B" w:rsidRDefault="00907FDB" w:rsidP="00907FDB">
      <w:pPr>
        <w:ind w:firstLine="660"/>
        <w:rPr>
          <w:rFonts w:ascii="Arial" w:eastAsia="宋体" w:hAnsi="Arial" w:cs="Arial"/>
          <w:color w:val="2B2B2B"/>
          <w:kern w:val="0"/>
          <w:sz w:val="32"/>
          <w:szCs w:val="32"/>
        </w:rPr>
      </w:pPr>
      <w:r w:rsidRPr="00907FDB">
        <w:rPr>
          <w:rFonts w:ascii="Arial" w:eastAsia="宋体" w:hAnsi="Arial" w:cs="Arial"/>
          <w:color w:val="2B2B2B"/>
          <w:kern w:val="0"/>
          <w:sz w:val="32"/>
          <w:szCs w:val="32"/>
        </w:rPr>
        <w:t>产后早期处于能量负平衡期间的牛只饲喂棕榈油等脂</w:t>
      </w:r>
      <w:r w:rsidRPr="00907FDB">
        <w:rPr>
          <w:rFonts w:ascii="Arial" w:eastAsia="宋体" w:hAnsi="Arial" w:cs="Arial"/>
          <w:color w:val="2B2B2B"/>
          <w:kern w:val="0"/>
          <w:sz w:val="32"/>
          <w:szCs w:val="32"/>
        </w:rPr>
        <w:lastRenderedPageBreak/>
        <w:t>肪添加剂对牛只健康和脂肪肝等都会有正面帮助。</w:t>
      </w:r>
      <w:r w:rsidRPr="00907FDB">
        <w:rPr>
          <w:rFonts w:ascii="Arial" w:eastAsia="宋体" w:hAnsi="Arial" w:cs="Arial"/>
          <w:color w:val="2B2B2B"/>
          <w:kern w:val="0"/>
          <w:sz w:val="32"/>
          <w:szCs w:val="32"/>
        </w:rPr>
        <w:t>Van Knegsel(2007)</w:t>
      </w:r>
      <w:r w:rsidRPr="00907FDB">
        <w:rPr>
          <w:rFonts w:ascii="Arial" w:eastAsia="宋体" w:hAnsi="Arial" w:cs="Arial"/>
          <w:color w:val="2B2B2B"/>
          <w:kern w:val="0"/>
          <w:sz w:val="32"/>
          <w:szCs w:val="32"/>
        </w:rPr>
        <w:t>研究产前、产后饲喂脂肪日粮</w:t>
      </w:r>
      <w:r w:rsidRPr="00907FDB">
        <w:rPr>
          <w:rFonts w:ascii="Arial" w:eastAsia="宋体" w:hAnsi="Arial" w:cs="Arial"/>
          <w:color w:val="2B2B2B"/>
          <w:kern w:val="0"/>
          <w:sz w:val="32"/>
          <w:szCs w:val="32"/>
        </w:rPr>
        <w:t>(2%DM</w:t>
      </w:r>
      <w:r w:rsidRPr="00907FDB">
        <w:rPr>
          <w:rFonts w:ascii="Arial" w:eastAsia="宋体" w:hAnsi="Arial" w:cs="Arial"/>
          <w:color w:val="2B2B2B"/>
          <w:kern w:val="0"/>
          <w:sz w:val="32"/>
          <w:szCs w:val="32"/>
        </w:rPr>
        <w:t>的</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或生糖日粮的牛只发现，产前饲喂脂肪日粮或生糖日粮有着相似的血浆非酯性脂肪酸、</w:t>
      </w:r>
      <w:r w:rsidRPr="00907FDB">
        <w:rPr>
          <w:rFonts w:ascii="Arial" w:eastAsia="宋体" w:hAnsi="Arial" w:cs="Arial"/>
          <w:color w:val="2B2B2B"/>
          <w:kern w:val="0"/>
          <w:sz w:val="32"/>
          <w:szCs w:val="32"/>
        </w:rPr>
        <w:t>β-</w:t>
      </w:r>
      <w:r w:rsidRPr="00907FDB">
        <w:rPr>
          <w:rFonts w:ascii="Arial" w:eastAsia="宋体" w:hAnsi="Arial" w:cs="Arial"/>
          <w:color w:val="2B2B2B"/>
          <w:kern w:val="0"/>
          <w:sz w:val="32"/>
          <w:szCs w:val="32"/>
        </w:rPr>
        <w:t>羟基丁酸</w:t>
      </w:r>
      <w:r w:rsidRPr="00907FDB">
        <w:rPr>
          <w:rFonts w:ascii="Arial" w:eastAsia="宋体" w:hAnsi="Arial" w:cs="Arial"/>
          <w:color w:val="2B2B2B"/>
          <w:kern w:val="0"/>
          <w:sz w:val="32"/>
          <w:szCs w:val="32"/>
        </w:rPr>
        <w:t>(BHBA)</w:t>
      </w:r>
      <w:r w:rsidRPr="00907FDB">
        <w:rPr>
          <w:rFonts w:ascii="Arial" w:eastAsia="宋体" w:hAnsi="Arial" w:cs="Arial"/>
          <w:color w:val="2B2B2B"/>
          <w:kern w:val="0"/>
          <w:sz w:val="32"/>
          <w:szCs w:val="32"/>
        </w:rPr>
        <w:t>、胆固醇和肝脏甘油三酯，但产后饲喂脂肪日粮牛只的血浆非酯性脂肪酸、</w:t>
      </w:r>
      <w:r w:rsidRPr="00907FDB">
        <w:rPr>
          <w:rFonts w:ascii="Arial" w:eastAsia="宋体" w:hAnsi="Arial" w:cs="Arial"/>
          <w:color w:val="2B2B2B"/>
          <w:kern w:val="0"/>
          <w:sz w:val="32"/>
          <w:szCs w:val="32"/>
        </w:rPr>
        <w:t>β-</w:t>
      </w:r>
      <w:r w:rsidRPr="00907FDB">
        <w:rPr>
          <w:rFonts w:ascii="Arial" w:eastAsia="宋体" w:hAnsi="Arial" w:cs="Arial"/>
          <w:color w:val="2B2B2B"/>
          <w:kern w:val="0"/>
          <w:sz w:val="32"/>
          <w:szCs w:val="32"/>
        </w:rPr>
        <w:t>羟基丁酸</w:t>
      </w:r>
      <w:r w:rsidRPr="00907FDB">
        <w:rPr>
          <w:rFonts w:ascii="Arial" w:eastAsia="宋体" w:hAnsi="Arial" w:cs="Arial"/>
          <w:color w:val="2B2B2B"/>
          <w:kern w:val="0"/>
          <w:sz w:val="32"/>
          <w:szCs w:val="32"/>
        </w:rPr>
        <w:t>(BHBA)</w:t>
      </w:r>
      <w:r w:rsidRPr="00907FDB">
        <w:rPr>
          <w:rFonts w:ascii="Arial" w:eastAsia="宋体" w:hAnsi="Arial" w:cs="Arial"/>
          <w:color w:val="2B2B2B"/>
          <w:kern w:val="0"/>
          <w:sz w:val="32"/>
          <w:szCs w:val="32"/>
        </w:rPr>
        <w:t>、胆固醇和肝脏甘油三酯含量更高。高浓度的脂肪代谢产物、肝脏甘油三酯是脂肪肝</w:t>
      </w:r>
      <w:r w:rsidRPr="00907FDB">
        <w:rPr>
          <w:rFonts w:ascii="Arial" w:eastAsia="宋体" w:hAnsi="Arial" w:cs="Arial"/>
          <w:color w:val="2B2B2B"/>
          <w:kern w:val="0"/>
          <w:sz w:val="32"/>
          <w:szCs w:val="32"/>
        </w:rPr>
        <w:t>(&gt;100mg/g</w:t>
      </w:r>
      <w:r w:rsidRPr="00907FDB">
        <w:rPr>
          <w:rFonts w:ascii="Arial" w:eastAsia="宋体" w:hAnsi="Arial" w:cs="Arial"/>
          <w:color w:val="2B2B2B"/>
          <w:kern w:val="0"/>
          <w:sz w:val="32"/>
          <w:szCs w:val="32"/>
        </w:rPr>
        <w:t>肝脏重量</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或酮病牛只的显著特征，它们更多的存在于饲喂脂肪日粮的经产牛群中，而不是生糖日粮牛群中。血浆</w:t>
      </w:r>
      <w:r w:rsidRPr="00907FDB">
        <w:rPr>
          <w:rFonts w:ascii="Arial" w:eastAsia="宋体" w:hAnsi="Arial" w:cs="Arial"/>
          <w:color w:val="2B2B2B"/>
          <w:kern w:val="0"/>
          <w:sz w:val="32"/>
          <w:szCs w:val="32"/>
        </w:rPr>
        <w:t>NEFA</w:t>
      </w:r>
      <w:r w:rsidRPr="00907FDB">
        <w:rPr>
          <w:rFonts w:ascii="Arial" w:eastAsia="宋体" w:hAnsi="Arial" w:cs="Arial"/>
          <w:color w:val="2B2B2B"/>
          <w:kern w:val="0"/>
          <w:sz w:val="32"/>
          <w:szCs w:val="32"/>
        </w:rPr>
        <w:t>的组成反映了脂肪组织脂肪酸的组成，其中</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C18:1</w:t>
      </w:r>
      <w:r w:rsidRPr="00907FDB">
        <w:rPr>
          <w:rFonts w:ascii="Arial" w:eastAsia="宋体" w:hAnsi="Arial" w:cs="Arial"/>
          <w:color w:val="2B2B2B"/>
          <w:kern w:val="0"/>
          <w:sz w:val="32"/>
          <w:szCs w:val="32"/>
        </w:rPr>
        <w:t>占主要成分</w:t>
      </w:r>
      <w:r w:rsidRPr="00907FDB">
        <w:rPr>
          <w:rFonts w:ascii="Arial" w:eastAsia="宋体" w:hAnsi="Arial" w:cs="Arial"/>
          <w:color w:val="2B2B2B"/>
          <w:kern w:val="0"/>
          <w:sz w:val="32"/>
          <w:szCs w:val="32"/>
        </w:rPr>
        <w:t>(Douglas,2007</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Contreras</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2010)</w:t>
      </w:r>
      <w:r w:rsidRPr="00907FDB">
        <w:rPr>
          <w:rFonts w:ascii="Arial" w:eastAsia="宋体" w:hAnsi="Arial" w:cs="Arial"/>
          <w:color w:val="2B2B2B"/>
          <w:kern w:val="0"/>
          <w:sz w:val="32"/>
          <w:szCs w:val="32"/>
        </w:rPr>
        <w:t>。</w:t>
      </w:r>
      <w:r w:rsidRPr="00907FDB">
        <w:rPr>
          <w:rFonts w:ascii="Arial" w:eastAsia="宋体" w:hAnsi="Arial" w:cs="Arial"/>
          <w:color w:val="2B2B2B"/>
          <w:kern w:val="0"/>
          <w:sz w:val="32"/>
          <w:szCs w:val="32"/>
        </w:rPr>
        <w:t>Van Knegse(2007)</w:t>
      </w:r>
      <w:r w:rsidRPr="00907FDB">
        <w:rPr>
          <w:rFonts w:ascii="Arial" w:eastAsia="宋体" w:hAnsi="Arial" w:cs="Arial"/>
          <w:color w:val="2B2B2B"/>
          <w:kern w:val="0"/>
          <w:sz w:val="32"/>
          <w:szCs w:val="32"/>
        </w:rPr>
        <w:t>发现</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和</w:t>
      </w:r>
      <w:r w:rsidRPr="00907FDB">
        <w:rPr>
          <w:rFonts w:ascii="Arial" w:eastAsia="宋体" w:hAnsi="Arial" w:cs="Arial"/>
          <w:color w:val="2B2B2B"/>
          <w:kern w:val="0"/>
          <w:sz w:val="32"/>
          <w:szCs w:val="32"/>
        </w:rPr>
        <w:t>C18:0</w:t>
      </w:r>
      <w:r w:rsidRPr="00907FDB">
        <w:rPr>
          <w:rFonts w:ascii="Arial" w:eastAsia="宋体" w:hAnsi="Arial" w:cs="Arial"/>
          <w:color w:val="2B2B2B"/>
          <w:kern w:val="0"/>
          <w:sz w:val="32"/>
          <w:szCs w:val="32"/>
        </w:rPr>
        <w:t>都会影响炎症反应，尽管是猜测，但近来的研究都证明如果产前饲喂</w:t>
      </w:r>
      <w:r w:rsidRPr="00907FDB">
        <w:rPr>
          <w:rFonts w:ascii="Arial" w:eastAsia="宋体" w:hAnsi="Arial" w:cs="Arial"/>
          <w:color w:val="2B2B2B"/>
          <w:kern w:val="0"/>
          <w:sz w:val="32"/>
          <w:szCs w:val="32"/>
        </w:rPr>
        <w:t>C16:0</w:t>
      </w:r>
      <w:r w:rsidRPr="00907FDB">
        <w:rPr>
          <w:rFonts w:ascii="Arial" w:eastAsia="宋体" w:hAnsi="Arial" w:cs="Arial"/>
          <w:color w:val="2B2B2B"/>
          <w:kern w:val="0"/>
          <w:sz w:val="32"/>
          <w:szCs w:val="32"/>
        </w:rPr>
        <w:t>脂肪酸含量高的日粮，当超过能量需求时，会提高围产期牛只的炎症。</w:t>
      </w:r>
    </w:p>
    <w:p w:rsidR="00907FDB" w:rsidRPr="00785311" w:rsidRDefault="00907FDB" w:rsidP="00907FDB">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10"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07FDB" w:rsidRPr="00785311" w:rsidRDefault="00907FDB" w:rsidP="00907FDB">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907FDB" w:rsidRPr="00785311" w:rsidRDefault="00907FDB" w:rsidP="00907FDB">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07FDB" w:rsidRPr="00917A63" w:rsidRDefault="007D621B" w:rsidP="00907FDB">
      <w:pPr>
        <w:pStyle w:val="a6"/>
        <w:ind w:firstLine="480"/>
        <w:rPr>
          <w:b/>
          <w:color w:val="000000"/>
        </w:rPr>
      </w:pPr>
      <w:hyperlink r:id="rId11" w:history="1">
        <w:r w:rsidR="00907FDB" w:rsidRPr="00917A63">
          <w:rPr>
            <w:rStyle w:val="a8"/>
            <w:rFonts w:hint="eastAsia"/>
            <w:b/>
          </w:rPr>
          <w:t>下载：智能二代(Genetic Algorithm)饲料配方软件(猪、鸡饲料配方计算)</w:t>
        </w:r>
      </w:hyperlink>
    </w:p>
    <w:p w:rsidR="00907FDB" w:rsidRDefault="00907FDB" w:rsidP="00907FDB">
      <w:pPr>
        <w:jc w:val="center"/>
        <w:rPr>
          <w:b/>
          <w:color w:val="FF0000"/>
          <w:sz w:val="32"/>
          <w:szCs w:val="32"/>
        </w:rPr>
      </w:pPr>
    </w:p>
    <w:p w:rsidR="00907FDB" w:rsidRPr="004F7A8F" w:rsidRDefault="007D621B" w:rsidP="00907FDB">
      <w:pPr>
        <w:jc w:val="center"/>
        <w:rPr>
          <w:b/>
          <w:color w:val="FF0000"/>
          <w:sz w:val="32"/>
          <w:szCs w:val="32"/>
        </w:rPr>
      </w:pPr>
      <w:hyperlink r:id="rId12" w:history="1">
        <w:r w:rsidR="00907FDB" w:rsidRPr="004F7A8F">
          <w:rPr>
            <w:rStyle w:val="a8"/>
            <w:rFonts w:hint="eastAsia"/>
            <w:b/>
            <w:color w:val="FF0000"/>
            <w:sz w:val="32"/>
            <w:szCs w:val="32"/>
          </w:rPr>
          <w:t>下载</w:t>
        </w:r>
        <w:r w:rsidR="00907FDB" w:rsidRPr="004F7A8F">
          <w:rPr>
            <w:rStyle w:val="a8"/>
            <w:rFonts w:hint="eastAsia"/>
            <w:b/>
            <w:color w:val="FF0000"/>
            <w:sz w:val="32"/>
            <w:szCs w:val="32"/>
          </w:rPr>
          <w:t>1</w:t>
        </w:r>
        <w:r w:rsidR="00907FDB" w:rsidRPr="004F7A8F">
          <w:rPr>
            <w:rStyle w:val="a8"/>
            <w:rFonts w:hint="eastAsia"/>
            <w:b/>
            <w:color w:val="FF0000"/>
            <w:sz w:val="32"/>
            <w:szCs w:val="32"/>
          </w:rPr>
          <w:t>：</w:t>
        </w:r>
        <w:r w:rsidR="00907FDB" w:rsidRPr="004F7A8F">
          <w:rPr>
            <w:rStyle w:val="a8"/>
            <w:rFonts w:hint="eastAsia"/>
            <w:b/>
            <w:color w:val="FF0000"/>
            <w:sz w:val="32"/>
            <w:szCs w:val="32"/>
          </w:rPr>
          <w:t xml:space="preserve">Feed mix </w:t>
        </w:r>
        <w:r w:rsidR="00907FDB" w:rsidRPr="004F7A8F">
          <w:rPr>
            <w:rStyle w:val="a8"/>
            <w:rFonts w:hint="eastAsia"/>
            <w:b/>
            <w:color w:val="FF0000"/>
            <w:sz w:val="32"/>
            <w:szCs w:val="32"/>
          </w:rPr>
          <w:t>反刍营养百分百</w:t>
        </w:r>
        <w:r w:rsidR="00907FDB" w:rsidRPr="004F7A8F">
          <w:rPr>
            <w:rStyle w:val="a8"/>
            <w:rFonts w:hint="eastAsia"/>
            <w:b/>
            <w:color w:val="FF0000"/>
            <w:sz w:val="32"/>
            <w:szCs w:val="32"/>
          </w:rPr>
          <w:t>-</w:t>
        </w:r>
        <w:r w:rsidR="00907FDB" w:rsidRPr="004F7A8F">
          <w:rPr>
            <w:rStyle w:val="a8"/>
            <w:rFonts w:hint="eastAsia"/>
            <w:b/>
            <w:color w:val="FF0000"/>
            <w:sz w:val="32"/>
            <w:szCs w:val="32"/>
          </w:rPr>
          <w:t>饲料配方软件</w:t>
        </w:r>
        <w:r w:rsidR="00907FDB" w:rsidRPr="004F7A8F">
          <w:rPr>
            <w:rStyle w:val="a8"/>
            <w:rFonts w:hint="eastAsia"/>
            <w:b/>
            <w:color w:val="FF0000"/>
            <w:sz w:val="32"/>
            <w:szCs w:val="32"/>
          </w:rPr>
          <w:t>(</w:t>
        </w:r>
        <w:r w:rsidR="00907FDB" w:rsidRPr="004F7A8F">
          <w:rPr>
            <w:rStyle w:val="a8"/>
            <w:rFonts w:hint="eastAsia"/>
            <w:b/>
            <w:color w:val="FF0000"/>
            <w:sz w:val="32"/>
            <w:szCs w:val="32"/>
          </w:rPr>
          <w:t>第四版</w:t>
        </w:r>
        <w:r w:rsidR="00907FDB" w:rsidRPr="004F7A8F">
          <w:rPr>
            <w:rStyle w:val="a8"/>
            <w:rFonts w:hint="eastAsia"/>
            <w:b/>
            <w:color w:val="FF0000"/>
            <w:sz w:val="32"/>
            <w:szCs w:val="32"/>
          </w:rPr>
          <w:t>)</w:t>
        </w:r>
      </w:hyperlink>
    </w:p>
    <w:p w:rsidR="00907FDB" w:rsidRPr="004F7A8F" w:rsidRDefault="00907FDB" w:rsidP="00907FDB">
      <w:pPr>
        <w:jc w:val="center"/>
        <w:rPr>
          <w:b/>
          <w:color w:val="FF0000"/>
          <w:sz w:val="32"/>
          <w:szCs w:val="32"/>
        </w:rPr>
      </w:pPr>
      <w:r>
        <w:rPr>
          <w:rFonts w:hint="eastAsia"/>
          <w:b/>
          <w:color w:val="FF0000"/>
          <w:sz w:val="32"/>
          <w:szCs w:val="32"/>
        </w:rPr>
        <w:t>QQ:1400072515</w:t>
      </w:r>
    </w:p>
    <w:p w:rsidR="00907FDB" w:rsidRPr="004F7A8F" w:rsidRDefault="007D621B" w:rsidP="00907FDB">
      <w:pPr>
        <w:jc w:val="center"/>
        <w:rPr>
          <w:b/>
          <w:color w:val="FF0000"/>
          <w:sz w:val="32"/>
          <w:szCs w:val="32"/>
        </w:rPr>
      </w:pPr>
      <w:hyperlink r:id="rId13" w:history="1">
        <w:r w:rsidR="00907FDB" w:rsidRPr="004F7A8F">
          <w:rPr>
            <w:rStyle w:val="a8"/>
            <w:rFonts w:hint="eastAsia"/>
            <w:b/>
            <w:color w:val="FF0000"/>
            <w:sz w:val="32"/>
            <w:szCs w:val="32"/>
          </w:rPr>
          <w:t>下载</w:t>
        </w:r>
        <w:r w:rsidR="00907FDB" w:rsidRPr="004F7A8F">
          <w:rPr>
            <w:rStyle w:val="a8"/>
            <w:rFonts w:hint="eastAsia"/>
            <w:b/>
            <w:color w:val="FF0000"/>
            <w:sz w:val="32"/>
            <w:szCs w:val="32"/>
          </w:rPr>
          <w:t>2</w:t>
        </w:r>
        <w:r w:rsidR="00907FDB" w:rsidRPr="004F7A8F">
          <w:rPr>
            <w:rStyle w:val="a8"/>
            <w:rFonts w:hint="eastAsia"/>
            <w:b/>
            <w:color w:val="FF0000"/>
            <w:sz w:val="32"/>
            <w:szCs w:val="32"/>
          </w:rPr>
          <w:t>：</w:t>
        </w:r>
        <w:r w:rsidR="00907FDB" w:rsidRPr="004F7A8F">
          <w:rPr>
            <w:rStyle w:val="a8"/>
            <w:rFonts w:hint="eastAsia"/>
            <w:b/>
            <w:color w:val="FF0000"/>
            <w:sz w:val="32"/>
            <w:szCs w:val="32"/>
          </w:rPr>
          <w:t xml:space="preserve">Feed mix </w:t>
        </w:r>
        <w:r w:rsidR="00907FDB" w:rsidRPr="004F7A8F">
          <w:rPr>
            <w:rStyle w:val="a8"/>
            <w:rFonts w:hint="eastAsia"/>
            <w:b/>
            <w:color w:val="FF0000"/>
            <w:sz w:val="32"/>
            <w:szCs w:val="32"/>
          </w:rPr>
          <w:t>反刍营养百分百</w:t>
        </w:r>
        <w:r w:rsidR="00907FDB" w:rsidRPr="004F7A8F">
          <w:rPr>
            <w:rStyle w:val="a8"/>
            <w:rFonts w:hint="eastAsia"/>
            <w:b/>
            <w:color w:val="FF0000"/>
            <w:sz w:val="32"/>
            <w:szCs w:val="32"/>
          </w:rPr>
          <w:t>-</w:t>
        </w:r>
        <w:r w:rsidR="00907FDB" w:rsidRPr="004F7A8F">
          <w:rPr>
            <w:rStyle w:val="a8"/>
            <w:rFonts w:hint="eastAsia"/>
            <w:b/>
            <w:color w:val="FF0000"/>
            <w:sz w:val="32"/>
            <w:szCs w:val="32"/>
          </w:rPr>
          <w:t>饲料配方软件</w:t>
        </w:r>
        <w:r w:rsidR="00907FDB" w:rsidRPr="004F7A8F">
          <w:rPr>
            <w:rStyle w:val="a8"/>
            <w:rFonts w:hint="eastAsia"/>
            <w:b/>
            <w:color w:val="FF0000"/>
            <w:sz w:val="32"/>
            <w:szCs w:val="32"/>
          </w:rPr>
          <w:t>(</w:t>
        </w:r>
        <w:r w:rsidR="00907FDB" w:rsidRPr="004F7A8F">
          <w:rPr>
            <w:rStyle w:val="a8"/>
            <w:rFonts w:hint="eastAsia"/>
            <w:b/>
            <w:color w:val="FF0000"/>
            <w:sz w:val="32"/>
            <w:szCs w:val="32"/>
          </w:rPr>
          <w:t>第四版</w:t>
        </w:r>
        <w:r w:rsidR="00907FDB" w:rsidRPr="004F7A8F">
          <w:rPr>
            <w:rStyle w:val="a8"/>
            <w:rFonts w:hint="eastAsia"/>
            <w:b/>
            <w:color w:val="FF0000"/>
            <w:sz w:val="32"/>
            <w:szCs w:val="32"/>
          </w:rPr>
          <w:t>)</w:t>
        </w:r>
      </w:hyperlink>
    </w:p>
    <w:p w:rsidR="00511088" w:rsidRDefault="00511088" w:rsidP="0051108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4"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5"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6"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7"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8"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9"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20"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1"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2"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3"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4"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907FDB" w:rsidRPr="00511088" w:rsidRDefault="00907FDB" w:rsidP="00907FDB">
      <w:pPr>
        <w:ind w:firstLine="660"/>
        <w:rPr>
          <w:sz w:val="32"/>
          <w:szCs w:val="32"/>
        </w:rPr>
      </w:pPr>
    </w:p>
    <w:sectPr w:rsidR="00907FDB" w:rsidRPr="00511088" w:rsidSect="007D621B">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29B" w:rsidRDefault="0056129B" w:rsidP="00907FDB">
      <w:r>
        <w:separator/>
      </w:r>
    </w:p>
  </w:endnote>
  <w:endnote w:type="continuationSeparator" w:id="1">
    <w:p w:rsidR="0056129B" w:rsidRDefault="0056129B" w:rsidP="00907F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29B" w:rsidRDefault="0056129B" w:rsidP="00907FDB">
      <w:r>
        <w:separator/>
      </w:r>
    </w:p>
  </w:footnote>
  <w:footnote w:type="continuationSeparator" w:id="1">
    <w:p w:rsidR="0056129B" w:rsidRDefault="0056129B" w:rsidP="00907F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FDB" w:rsidRDefault="00907FDB">
    <w:pPr>
      <w:pStyle w:val="a3"/>
    </w:pPr>
    <w:r w:rsidRPr="00907FDB">
      <w:rPr>
        <w:rFonts w:hint="eastAsia"/>
      </w:rPr>
      <w:t xml:space="preserve">Feed mix </w:t>
    </w:r>
    <w:r w:rsidRPr="00907FDB">
      <w:rPr>
        <w:rFonts w:hint="eastAsia"/>
      </w:rPr>
      <w:t>反刍营养百分百</w:t>
    </w:r>
    <w:r w:rsidRPr="00907FDB">
      <w:rPr>
        <w:rFonts w:hint="eastAsia"/>
      </w:rPr>
      <w:t>-</w:t>
    </w:r>
    <w:r w:rsidRPr="00907FDB">
      <w:rPr>
        <w:rFonts w:hint="eastAsia"/>
      </w:rPr>
      <w:t>饲料配方软件</w:t>
    </w:r>
    <w:r w:rsidRPr="00907FDB">
      <w:rPr>
        <w:rFonts w:hint="eastAsia"/>
      </w:rPr>
      <w:t>(</w:t>
    </w:r>
    <w:r w:rsidRPr="00907FDB">
      <w:rPr>
        <w:rFonts w:hint="eastAsia"/>
      </w:rPr>
      <w:t>奶牛、肉牛、肉羊饲料日粮计算</w:t>
    </w:r>
    <w:r w:rsidRPr="00907FDB">
      <w:rPr>
        <w:rFonts w:hint="eastAsia"/>
      </w:rPr>
      <w:t>)QQ</w:t>
    </w:r>
    <w:r w:rsidRPr="00907FDB">
      <w:rPr>
        <w:rFonts w:hint="eastAsia"/>
      </w:rPr>
      <w:t>：</w:t>
    </w:r>
    <w:r w:rsidRPr="00907FDB">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7FDB"/>
    <w:rsid w:val="00511088"/>
    <w:rsid w:val="0056129B"/>
    <w:rsid w:val="007D621B"/>
    <w:rsid w:val="00907FDB"/>
    <w:rsid w:val="00E612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F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7F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7FDB"/>
    <w:rPr>
      <w:sz w:val="18"/>
      <w:szCs w:val="18"/>
    </w:rPr>
  </w:style>
  <w:style w:type="paragraph" w:styleId="a4">
    <w:name w:val="footer"/>
    <w:basedOn w:val="a"/>
    <w:link w:val="Char0"/>
    <w:uiPriority w:val="99"/>
    <w:semiHidden/>
    <w:unhideWhenUsed/>
    <w:rsid w:val="00907F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7FDB"/>
    <w:rPr>
      <w:sz w:val="18"/>
      <w:szCs w:val="18"/>
    </w:rPr>
  </w:style>
  <w:style w:type="paragraph" w:styleId="a5">
    <w:name w:val="Balloon Text"/>
    <w:basedOn w:val="a"/>
    <w:link w:val="Char1"/>
    <w:uiPriority w:val="99"/>
    <w:semiHidden/>
    <w:unhideWhenUsed/>
    <w:rsid w:val="00907FDB"/>
    <w:rPr>
      <w:sz w:val="18"/>
      <w:szCs w:val="18"/>
    </w:rPr>
  </w:style>
  <w:style w:type="character" w:customStyle="1" w:styleId="Char1">
    <w:name w:val="批注框文本 Char"/>
    <w:basedOn w:val="a0"/>
    <w:link w:val="a5"/>
    <w:uiPriority w:val="99"/>
    <w:semiHidden/>
    <w:rsid w:val="00907FDB"/>
    <w:rPr>
      <w:sz w:val="18"/>
      <w:szCs w:val="18"/>
    </w:rPr>
  </w:style>
  <w:style w:type="paragraph" w:styleId="a6">
    <w:name w:val="Normal (Web)"/>
    <w:basedOn w:val="a"/>
    <w:uiPriority w:val="99"/>
    <w:rsid w:val="00907FD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07FDB"/>
    <w:rPr>
      <w:b/>
      <w:bCs/>
    </w:rPr>
  </w:style>
  <w:style w:type="character" w:styleId="a8">
    <w:name w:val="Hyperlink"/>
    <w:basedOn w:val="a0"/>
    <w:rsid w:val="00907FDB"/>
    <w:rPr>
      <w:color w:val="0000FF"/>
      <w:u w:val="single"/>
    </w:rPr>
  </w:style>
</w:styles>
</file>

<file path=word/webSettings.xml><?xml version="1.0" encoding="utf-8"?>
<w:webSettings xmlns:r="http://schemas.openxmlformats.org/officeDocument/2006/relationships" xmlns:w="http://schemas.openxmlformats.org/wordprocessingml/2006/main">
  <w:divs>
    <w:div w:id="54310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user.qzone.qq.com/1400072515/blog/1419724053" TargetMode="External"/><Relationship Id="rId18" Type="http://schemas.openxmlformats.org/officeDocument/2006/relationships/hyperlink" Target="http://mail.sina.com.cn/netdisk/download.php?id=0da6b3470e56a53383bef3da87e55b1482"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mail.sina.com.cn/netdisk/download.php?id=e39691d5b6090ce6a56f9278e424151489" TargetMode="External"/><Relationship Id="rId7" Type="http://schemas.openxmlformats.org/officeDocument/2006/relationships/image" Target="media/image2.jpeg"/><Relationship Id="rId12" Type="http://schemas.openxmlformats.org/officeDocument/2006/relationships/hyperlink" Target="http://mail.sina.com.cn/netdisk/download.php?id=9db58958dfa1e37685cf228f1e582530e6" TargetMode="External"/><Relationship Id="rId17" Type="http://schemas.openxmlformats.org/officeDocument/2006/relationships/hyperlink" Target="http://mail.sina.com.cn/netdisk/download.php?id=b18dc710c53bda046cc5f40416802214e3"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3375f534fd044a527ead49b79fe1a0143b" TargetMode="External"/><Relationship Id="rId20" Type="http://schemas.openxmlformats.org/officeDocument/2006/relationships/hyperlink" Target="http://mail.sina.com.cn/netdisk/download.php?id=d749af0a6848a635bb96b12f6e966f1437"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c6a34f4ccd3c14275bf670b060bb5630ed" TargetMode="External"/><Relationship Id="rId24" Type="http://schemas.openxmlformats.org/officeDocument/2006/relationships/hyperlink" Target="http://mail.sina.com.cn/netdisk/download.php?id=8fd3214578208c6c149fc419d93ec21475" TargetMode="External"/><Relationship Id="rId5" Type="http://schemas.openxmlformats.org/officeDocument/2006/relationships/endnotes" Target="endnotes.xml"/><Relationship Id="rId15" Type="http://schemas.openxmlformats.org/officeDocument/2006/relationships/hyperlink" Target="http://mail.sina.com.cn/netdisk/download.php?id=78fd279534792beaf2a54622352cbd1484" TargetMode="External"/><Relationship Id="rId23" Type="http://schemas.openxmlformats.org/officeDocument/2006/relationships/hyperlink" Target="http://mail.sina.com.cn/netdisk/download.php?id=e4952a03385f26c3729ae8e059b60c1401" TargetMode="External"/><Relationship Id="rId10" Type="http://schemas.openxmlformats.org/officeDocument/2006/relationships/hyperlink" Target="http://mail.sina.com.cn/netdisk/download.php?id=05463188584c11109c5156c23f1bfd14bc" TargetMode="External"/><Relationship Id="rId19" Type="http://schemas.openxmlformats.org/officeDocument/2006/relationships/hyperlink" Target="http://mail.sina.com.cn/netdisk/download.php?id=2e2d884a7ec6eda8522f8c67a07140140c"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mail.sina.com.cn/netdisk/download.php?id=447faa01ee8d8a9249a6ab838efc2a1492" TargetMode="External"/><Relationship Id="rId22" Type="http://schemas.openxmlformats.org/officeDocument/2006/relationships/hyperlink" Target="http://mail.sina.com.cn/netdisk/download.php?id=878adf1aa8f8f114b317854cd73aac14b9"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1416</Words>
  <Characters>8072</Characters>
  <Application>Microsoft Office Word</Application>
  <DocSecurity>0</DocSecurity>
  <Lines>67</Lines>
  <Paragraphs>18</Paragraphs>
  <ScaleCrop>false</ScaleCrop>
  <Company/>
  <LinksUpToDate>false</LinksUpToDate>
  <CharactersWithSpaces>9470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2015-01-04T11:23:00Z</dcterms:created>
  <dcterms:modified xsi:type="dcterms:W3CDTF">2015-01-06T02:01:00Z</dcterms:modified>
</cp:coreProperties>
</file>