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1E" w:rsidRPr="005867B2" w:rsidRDefault="000F171E" w:rsidP="000F171E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5867B2">
        <w:rPr>
          <w:rFonts w:ascii="Arial" w:hAnsi="Arial" w:cs="Arial"/>
          <w:b/>
          <w:bCs/>
          <w:color w:val="01288D"/>
          <w:kern w:val="36"/>
          <w:sz w:val="33"/>
          <w:szCs w:val="33"/>
        </w:rPr>
        <w:t>犊牛断奶：成对饲养可减少应激</w:t>
      </w:r>
    </w:p>
    <w:p w:rsidR="000F171E" w:rsidRPr="000F171E" w:rsidRDefault="000F171E" w:rsidP="000F17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5867B2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犊牛在快速成长的阶段充满着变化，它们可能因此产生应激，毕竟它们只是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“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婴儿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”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。加拿大英属哥伦比亚大学的一项研究试图寻找降低犊牛应激的方法：对单独饲养犊牛和成对饲养所产生的影响进行了比较。研究结果刊登在《奶牛科学》杂志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2010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年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7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月刊。</w:t>
      </w:r>
    </w:p>
    <w:p w:rsidR="000F171E" w:rsidRPr="000F171E" w:rsidRDefault="000F171E" w:rsidP="000F17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0F171E">
        <w:rPr>
          <w:rFonts w:ascii="Arial" w:hAnsi="Arial" w:cs="Arial"/>
          <w:color w:val="2B2B2B"/>
          <w:kern w:val="0"/>
          <w:sz w:val="30"/>
          <w:szCs w:val="30"/>
        </w:rPr>
        <w:t xml:space="preserve">　　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27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头犊牛出生后单独饲养四天，然后被随机分为单独饲养和成对饲养两组。饲料和饮水均是自由采食，巴氏消毒的全奶则通过带奶嘴的奶瓶每天饲喂两次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(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自由采食两个小时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)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，并在第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37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天开始断奶。</w:t>
      </w:r>
    </w:p>
    <w:p w:rsidR="000F171E" w:rsidRPr="000F171E" w:rsidRDefault="000F171E" w:rsidP="000F171E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0"/>
          <w:szCs w:val="30"/>
        </w:rPr>
      </w:pPr>
      <w:r w:rsidRPr="000F171E">
        <w:rPr>
          <w:rFonts w:ascii="Arial" w:hAnsi="Arial" w:cs="Arial"/>
          <w:color w:val="2B2B2B"/>
          <w:kern w:val="0"/>
          <w:sz w:val="30"/>
          <w:szCs w:val="30"/>
        </w:rPr>
        <w:t xml:space="preserve">　　相比之下，成对饲养的犊牛断奶前开食料采食量更大，断奶时的叫声也更少。第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56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天，犊牛转移为群养。当时，成对饲养的犊牛饲料采食的速度比单独饲养的犊牛更快，它们会更频繁地光顾饲槽并且采食量更大。成对饲养的犊牛群养后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2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天和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3</w:t>
      </w:r>
      <w:r w:rsidRPr="000F171E">
        <w:rPr>
          <w:rFonts w:ascii="Arial" w:hAnsi="Arial" w:cs="Arial"/>
          <w:color w:val="2B2B2B"/>
          <w:kern w:val="0"/>
          <w:sz w:val="30"/>
          <w:szCs w:val="30"/>
        </w:rPr>
        <w:t>天的增重也更多。该研究结果表明：断奶前，犊牛成对饲养能减少断奶应激，并且断奶后有更好的生长。</w:t>
      </w:r>
    </w:p>
    <w:p w:rsidR="0073418D" w:rsidRPr="00785311" w:rsidRDefault="0073418D" w:rsidP="0073418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73418D" w:rsidRPr="00785311" w:rsidRDefault="0073418D" w:rsidP="0073418D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73418D" w:rsidRPr="00785311" w:rsidRDefault="0073418D" w:rsidP="0073418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73418D" w:rsidRPr="00917A63" w:rsidRDefault="0073418D" w:rsidP="0073418D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73418D" w:rsidRDefault="0073418D" w:rsidP="0073418D">
      <w:pPr>
        <w:jc w:val="center"/>
        <w:rPr>
          <w:b/>
          <w:color w:val="FF0000"/>
          <w:sz w:val="32"/>
          <w:szCs w:val="32"/>
        </w:rPr>
      </w:pPr>
    </w:p>
    <w:p w:rsidR="0073418D" w:rsidRPr="004F7A8F" w:rsidRDefault="0073418D" w:rsidP="0073418D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73418D" w:rsidRPr="004F7A8F" w:rsidRDefault="0073418D" w:rsidP="0073418D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73418D" w:rsidRPr="004F7A8F" w:rsidRDefault="0073418D" w:rsidP="0073418D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73418D" w:rsidRDefault="0073418D" w:rsidP="0073418D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73418D" w:rsidRDefault="0073418D" w:rsidP="0073418D">
      <w:pPr>
        <w:rPr>
          <w:rFonts w:hint="eastAsia"/>
        </w:rPr>
      </w:pPr>
    </w:p>
    <w:p w:rsidR="008B254C" w:rsidRPr="000F171E" w:rsidRDefault="0073418D" w:rsidP="0073418D">
      <w:pPr>
        <w:jc w:val="center"/>
        <w:rPr>
          <w:rFonts w:ascii="黑体" w:eastAsia="黑体" w:hAnsi="宋体"/>
          <w:color w:val="FF0000"/>
          <w:sz w:val="18"/>
          <w:szCs w:val="18"/>
        </w:rPr>
      </w:pPr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8B254C" w:rsidRPr="000F171E" w:rsidSect="00B1017F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7418" w:rsidRDefault="009D7418" w:rsidP="000F171E">
      <w:r>
        <w:separator/>
      </w:r>
    </w:p>
  </w:endnote>
  <w:endnote w:type="continuationSeparator" w:id="1">
    <w:p w:rsidR="009D7418" w:rsidRDefault="009D7418" w:rsidP="000F17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7418" w:rsidRDefault="009D7418" w:rsidP="000F171E">
      <w:r>
        <w:separator/>
      </w:r>
    </w:p>
  </w:footnote>
  <w:footnote w:type="continuationSeparator" w:id="1">
    <w:p w:rsidR="009D7418" w:rsidRDefault="009D7418" w:rsidP="000F17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18D" w:rsidRDefault="0073418D">
    <w:pPr>
      <w:pStyle w:val="a3"/>
    </w:pPr>
    <w:r w:rsidRPr="0073418D">
      <w:rPr>
        <w:rFonts w:hint="eastAsia"/>
      </w:rPr>
      <w:t xml:space="preserve">Feed mix </w:t>
    </w:r>
    <w:r w:rsidRPr="0073418D">
      <w:rPr>
        <w:rFonts w:hint="eastAsia"/>
      </w:rPr>
      <w:t>反刍营养百分百</w:t>
    </w:r>
    <w:r w:rsidRPr="0073418D">
      <w:rPr>
        <w:rFonts w:hint="eastAsia"/>
      </w:rPr>
      <w:t>-</w:t>
    </w:r>
    <w:r w:rsidRPr="0073418D">
      <w:rPr>
        <w:rFonts w:hint="eastAsia"/>
      </w:rPr>
      <w:t>饲料配方软件</w:t>
    </w:r>
    <w:r w:rsidRPr="0073418D">
      <w:rPr>
        <w:rFonts w:hint="eastAsia"/>
      </w:rPr>
      <w:t>(</w:t>
    </w:r>
    <w:r w:rsidRPr="0073418D">
      <w:rPr>
        <w:rFonts w:hint="eastAsia"/>
      </w:rPr>
      <w:t>奶牛、肉牛、肉羊饲料日粮</w:t>
    </w:r>
    <w:r w:rsidRPr="0073418D">
      <w:rPr>
        <w:rFonts w:hint="eastAsia"/>
      </w:rPr>
      <w:t>TMR</w:t>
    </w:r>
    <w:r w:rsidRPr="0073418D">
      <w:rPr>
        <w:rFonts w:hint="eastAsia"/>
      </w:rPr>
      <w:t>计算</w:t>
    </w:r>
    <w:r w:rsidRPr="0073418D">
      <w:rPr>
        <w:rFonts w:hint="eastAsia"/>
      </w:rPr>
      <w:t>)QQ</w:t>
    </w:r>
    <w:r w:rsidRPr="0073418D">
      <w:rPr>
        <w:rFonts w:hint="eastAsia"/>
      </w:rPr>
      <w:t>：</w:t>
    </w:r>
    <w:r w:rsidRPr="0073418D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171E"/>
    <w:rsid w:val="000F171E"/>
    <w:rsid w:val="0073418D"/>
    <w:rsid w:val="008B254C"/>
    <w:rsid w:val="009D7418"/>
    <w:rsid w:val="00B10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7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F1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17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17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171E"/>
    <w:rPr>
      <w:sz w:val="18"/>
      <w:szCs w:val="18"/>
    </w:rPr>
  </w:style>
  <w:style w:type="character" w:styleId="a5">
    <w:name w:val="Hyperlink"/>
    <w:basedOn w:val="a0"/>
    <w:rsid w:val="000F171E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7341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7341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566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2014-07-03T02:27:00Z</dcterms:created>
  <dcterms:modified xsi:type="dcterms:W3CDTF">2015-01-27T02:39:00Z</dcterms:modified>
</cp:coreProperties>
</file>