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FAC" w:rsidRPr="009324A6" w:rsidRDefault="00795FAC" w:rsidP="00795FAC">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Pr>
          <w:rFonts w:ascii="Arial" w:eastAsia="宋体" w:hAnsi="Arial" w:cs="Arial" w:hint="eastAsia"/>
          <w:b/>
          <w:bCs/>
          <w:color w:val="01288D"/>
          <w:kern w:val="36"/>
          <w:sz w:val="33"/>
          <w:szCs w:val="33"/>
        </w:rPr>
        <w:t>奶牛</w:t>
      </w:r>
      <w:r w:rsidRPr="009324A6">
        <w:rPr>
          <w:rFonts w:ascii="Arial" w:eastAsia="宋体" w:hAnsi="Arial" w:cs="Arial"/>
          <w:b/>
          <w:bCs/>
          <w:color w:val="01288D"/>
          <w:kern w:val="36"/>
          <w:sz w:val="33"/>
          <w:szCs w:val="33"/>
        </w:rPr>
        <w:t>饲喂干草的成本可以降低</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A6">
        <w:rPr>
          <w:rFonts w:ascii="Arial" w:eastAsia="宋体" w:hAnsi="Arial" w:cs="Arial"/>
          <w:color w:val="2B2B2B"/>
          <w:kern w:val="0"/>
          <w:szCs w:val="21"/>
        </w:rPr>
        <w:t xml:space="preserve">　　</w:t>
      </w:r>
      <w:r w:rsidRPr="00795FAC">
        <w:rPr>
          <w:rFonts w:ascii="Arial" w:eastAsia="宋体" w:hAnsi="Arial" w:cs="Arial"/>
          <w:color w:val="2B2B2B"/>
          <w:kern w:val="0"/>
          <w:sz w:val="32"/>
          <w:szCs w:val="32"/>
        </w:rPr>
        <w:t>今年由于南部平原地区的历史性大干旱，迫使牛场主寻找新的饲养方法或忍受高昂的</w:t>
      </w:r>
      <w:r w:rsidRPr="00795FAC">
        <w:rPr>
          <w:rFonts w:ascii="Arial" w:eastAsia="宋体" w:hAnsi="Arial" w:cs="Arial"/>
          <w:color w:val="2B2B2B"/>
          <w:kern w:val="0"/>
          <w:sz w:val="32"/>
          <w:szCs w:val="32"/>
        </w:rPr>
        <w:t>(</w:t>
      </w:r>
      <w:r w:rsidRPr="00795FAC">
        <w:rPr>
          <w:rFonts w:ascii="Arial" w:eastAsia="宋体" w:hAnsi="Arial" w:cs="Arial"/>
          <w:color w:val="2B2B2B"/>
          <w:kern w:val="0"/>
          <w:sz w:val="32"/>
          <w:szCs w:val="32"/>
        </w:rPr>
        <w:t>购买或收获</w:t>
      </w:r>
      <w:r w:rsidRPr="00795FAC">
        <w:rPr>
          <w:rFonts w:ascii="Arial" w:eastAsia="宋体" w:hAnsi="Arial" w:cs="Arial"/>
          <w:color w:val="2B2B2B"/>
          <w:kern w:val="0"/>
          <w:sz w:val="32"/>
          <w:szCs w:val="32"/>
        </w:rPr>
        <w:t>)</w:t>
      </w:r>
      <w:r w:rsidRPr="00795FAC">
        <w:rPr>
          <w:rFonts w:ascii="Arial" w:eastAsia="宋体" w:hAnsi="Arial" w:cs="Arial"/>
          <w:color w:val="2B2B2B"/>
          <w:kern w:val="0"/>
          <w:sz w:val="32"/>
          <w:szCs w:val="32"/>
        </w:rPr>
        <w:t>饲料成本。</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另外，一般冬季饲喂干草的时间为</w:t>
      </w:r>
      <w:r w:rsidRPr="00795FAC">
        <w:rPr>
          <w:rFonts w:ascii="Arial" w:eastAsia="宋体" w:hAnsi="Arial" w:cs="Arial"/>
          <w:color w:val="2B2B2B"/>
          <w:kern w:val="0"/>
          <w:sz w:val="32"/>
          <w:szCs w:val="32"/>
        </w:rPr>
        <w:t>90</w:t>
      </w:r>
      <w:r w:rsidRPr="00795FAC">
        <w:rPr>
          <w:rFonts w:ascii="Arial" w:eastAsia="宋体" w:hAnsi="Arial" w:cs="Arial"/>
          <w:color w:val="2B2B2B"/>
          <w:kern w:val="0"/>
          <w:sz w:val="32"/>
          <w:szCs w:val="32"/>
        </w:rPr>
        <w:t>～</w:t>
      </w:r>
      <w:r w:rsidRPr="00795FAC">
        <w:rPr>
          <w:rFonts w:ascii="Arial" w:eastAsia="宋体" w:hAnsi="Arial" w:cs="Arial"/>
          <w:color w:val="2B2B2B"/>
          <w:kern w:val="0"/>
          <w:sz w:val="32"/>
          <w:szCs w:val="32"/>
        </w:rPr>
        <w:t>120</w:t>
      </w:r>
      <w:r w:rsidRPr="00795FAC">
        <w:rPr>
          <w:rFonts w:ascii="Arial" w:eastAsia="宋体" w:hAnsi="Arial" w:cs="Arial"/>
          <w:color w:val="2B2B2B"/>
          <w:kern w:val="0"/>
          <w:sz w:val="32"/>
          <w:szCs w:val="32"/>
        </w:rPr>
        <w:t>天，但许多繁殖牛场却被迫饲喂全群或部分牛群长达</w:t>
      </w:r>
      <w:r w:rsidRPr="00795FAC">
        <w:rPr>
          <w:rFonts w:ascii="Arial" w:eastAsia="宋体" w:hAnsi="Arial" w:cs="Arial"/>
          <w:color w:val="2B2B2B"/>
          <w:kern w:val="0"/>
          <w:sz w:val="32"/>
          <w:szCs w:val="32"/>
        </w:rPr>
        <w:t xml:space="preserve">200 </w:t>
      </w:r>
      <w:r w:rsidRPr="00795FAC">
        <w:rPr>
          <w:rFonts w:ascii="Arial" w:eastAsia="宋体" w:hAnsi="Arial" w:cs="Arial"/>
          <w:color w:val="2B2B2B"/>
          <w:kern w:val="0"/>
          <w:sz w:val="32"/>
          <w:szCs w:val="32"/>
        </w:rPr>
        <w:t>天或更长。这个冬天，将比以往任何时间都需要考虑提高</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现有粗饲料的利用效率。</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幸运的是，有几个相对简单的概念可以采纳，并能产生很大的效果。实际上，如果能联合使用，这些策略能至少降低干草饲喂量的三分之一。</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w:t>
      </w:r>
      <w:r w:rsidRPr="00795FAC">
        <w:rPr>
          <w:rFonts w:ascii="Arial" w:eastAsia="宋体" w:hAnsi="Arial" w:cs="Arial"/>
          <w:b/>
          <w:bCs/>
          <w:color w:val="2B2B2B"/>
          <w:kern w:val="0"/>
          <w:sz w:val="32"/>
          <w:szCs w:val="32"/>
        </w:rPr>
        <w:t>限制干草采食量</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肥育场通过限制肥育牛的采食量来改善饲料效率已经有很多年了。这些也能在繁殖牛场使用持续地减少干草的使用量。</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通过限制粗饲料的采食量，粗饲料的消化率应该增加，损耗的干草量应该减少。明尼苏达和伊利诺斯的研究人员在他们的研究中限制了牛采食粗饲料的时间</w:t>
      </w:r>
      <w:r w:rsidRPr="00795FAC">
        <w:rPr>
          <w:rFonts w:ascii="Arial" w:eastAsia="宋体" w:hAnsi="Arial" w:cs="Arial"/>
          <w:color w:val="2B2B2B"/>
          <w:kern w:val="0"/>
          <w:sz w:val="32"/>
          <w:szCs w:val="32"/>
        </w:rPr>
        <w:t xml:space="preserve">(Jaderborg </w:t>
      </w:r>
      <w:r w:rsidRPr="00795FAC">
        <w:rPr>
          <w:rFonts w:ascii="Arial" w:eastAsia="宋体" w:hAnsi="Arial" w:cs="Arial"/>
          <w:color w:val="2B2B2B"/>
          <w:kern w:val="0"/>
          <w:sz w:val="32"/>
          <w:szCs w:val="32"/>
        </w:rPr>
        <w:t>等，</w:t>
      </w:r>
      <w:r w:rsidRPr="00795FAC">
        <w:rPr>
          <w:rFonts w:ascii="Arial" w:eastAsia="宋体" w:hAnsi="Arial" w:cs="Arial"/>
          <w:color w:val="2B2B2B"/>
          <w:kern w:val="0"/>
          <w:sz w:val="32"/>
          <w:szCs w:val="32"/>
        </w:rPr>
        <w:t xml:space="preserve">2011;Miller </w:t>
      </w:r>
      <w:r w:rsidRPr="00795FAC">
        <w:rPr>
          <w:rFonts w:ascii="Arial" w:eastAsia="宋体" w:hAnsi="Arial" w:cs="Arial"/>
          <w:color w:val="2B2B2B"/>
          <w:kern w:val="0"/>
          <w:sz w:val="32"/>
          <w:szCs w:val="32"/>
        </w:rPr>
        <w:t>等，</w:t>
      </w:r>
      <w:r w:rsidRPr="00795FAC">
        <w:rPr>
          <w:rFonts w:ascii="Arial" w:eastAsia="宋体" w:hAnsi="Arial" w:cs="Arial"/>
          <w:color w:val="2B2B2B"/>
          <w:kern w:val="0"/>
          <w:sz w:val="32"/>
          <w:szCs w:val="32"/>
        </w:rPr>
        <w:t>2007)</w:t>
      </w:r>
      <w:r w:rsidRPr="00795FAC">
        <w:rPr>
          <w:rFonts w:ascii="Arial" w:eastAsia="宋体" w:hAnsi="Arial" w:cs="Arial"/>
          <w:color w:val="2B2B2B"/>
          <w:kern w:val="0"/>
          <w:sz w:val="32"/>
          <w:szCs w:val="32"/>
        </w:rPr>
        <w:t>。当把牛采食粗饲料的时间限制到</w:t>
      </w:r>
      <w:r w:rsidRPr="00795FAC">
        <w:rPr>
          <w:rFonts w:ascii="Arial" w:eastAsia="宋体" w:hAnsi="Arial" w:cs="Arial"/>
          <w:color w:val="2B2B2B"/>
          <w:kern w:val="0"/>
          <w:sz w:val="32"/>
          <w:szCs w:val="32"/>
        </w:rPr>
        <w:t xml:space="preserve">6 </w:t>
      </w:r>
      <w:r w:rsidRPr="00795FAC">
        <w:rPr>
          <w:rFonts w:ascii="Arial" w:eastAsia="宋体" w:hAnsi="Arial" w:cs="Arial"/>
          <w:color w:val="2B2B2B"/>
          <w:kern w:val="0"/>
          <w:sz w:val="32"/>
          <w:szCs w:val="32"/>
        </w:rPr>
        <w:t>小时，干草的采食量在三个研究中平均下降了</w:t>
      </w:r>
      <w:r w:rsidRPr="00795FAC">
        <w:rPr>
          <w:rFonts w:ascii="Arial" w:eastAsia="宋体" w:hAnsi="Arial" w:cs="Arial"/>
          <w:color w:val="2B2B2B"/>
          <w:kern w:val="0"/>
          <w:sz w:val="32"/>
          <w:szCs w:val="32"/>
        </w:rPr>
        <w:t>22%(</w:t>
      </w:r>
      <w:r w:rsidRPr="00795FAC">
        <w:rPr>
          <w:rFonts w:ascii="Arial" w:eastAsia="宋体" w:hAnsi="Arial" w:cs="Arial"/>
          <w:color w:val="2B2B2B"/>
          <w:kern w:val="0"/>
          <w:sz w:val="32"/>
          <w:szCs w:val="32"/>
        </w:rPr>
        <w:t>见表</w:t>
      </w:r>
      <w:r w:rsidRPr="00795FAC">
        <w:rPr>
          <w:rFonts w:ascii="Arial" w:eastAsia="宋体" w:hAnsi="Arial" w:cs="Arial"/>
          <w:color w:val="2B2B2B"/>
          <w:kern w:val="0"/>
          <w:sz w:val="32"/>
          <w:szCs w:val="32"/>
        </w:rPr>
        <w:t>)</w:t>
      </w:r>
      <w:r w:rsidRPr="00795FAC">
        <w:rPr>
          <w:rFonts w:ascii="Arial" w:eastAsia="宋体" w:hAnsi="Arial" w:cs="Arial"/>
          <w:color w:val="2B2B2B"/>
          <w:kern w:val="0"/>
          <w:sz w:val="32"/>
          <w:szCs w:val="32"/>
        </w:rPr>
        <w:t>。</w:t>
      </w:r>
      <w:r w:rsidRPr="00795FAC">
        <w:rPr>
          <w:rFonts w:ascii="Arial" w:eastAsia="宋体" w:hAnsi="Arial" w:cs="Arial"/>
          <w:color w:val="2B2B2B"/>
          <w:kern w:val="0"/>
          <w:sz w:val="32"/>
          <w:szCs w:val="32"/>
        </w:rPr>
        <w:lastRenderedPageBreak/>
        <w:t>在限制采食的三个研究中有两个研究的干草的损耗量减少，牛的增重在三个限制采食的研究中都出现下降。</w:t>
      </w:r>
    </w:p>
    <w:p w:rsidR="00795FAC" w:rsidRPr="00795FAC" w:rsidRDefault="00795FAC" w:rsidP="00795FA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表</w:t>
      </w:r>
      <w:r w:rsidRPr="00795FAC">
        <w:rPr>
          <w:rFonts w:ascii="Arial" w:eastAsia="宋体" w:hAnsi="Arial" w:cs="Arial"/>
          <w:color w:val="2B2B2B"/>
          <w:kern w:val="0"/>
          <w:sz w:val="32"/>
          <w:szCs w:val="32"/>
        </w:rPr>
        <w:t xml:space="preserve">1 </w:t>
      </w:r>
      <w:r w:rsidRPr="00795FAC">
        <w:rPr>
          <w:rFonts w:ascii="Arial" w:eastAsia="宋体" w:hAnsi="Arial" w:cs="Arial"/>
          <w:color w:val="2B2B2B"/>
          <w:kern w:val="0"/>
          <w:sz w:val="32"/>
          <w:szCs w:val="32"/>
        </w:rPr>
        <w:t>限制饲喂或自由采食对干草采食量，干草损耗量和母牛体重的影响</w:t>
      </w:r>
    </w:p>
    <w:p w:rsidR="00795FAC" w:rsidRPr="00795FAC" w:rsidRDefault="00795FAC" w:rsidP="00795FA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795FAC">
        <w:rPr>
          <w:rFonts w:ascii="Arial" w:eastAsia="宋体" w:hAnsi="Arial" w:cs="Arial"/>
          <w:noProof/>
          <w:color w:val="2B2B2B"/>
          <w:kern w:val="0"/>
          <w:sz w:val="32"/>
          <w:szCs w:val="32"/>
        </w:rPr>
        <w:drawing>
          <wp:inline distT="0" distB="0" distL="0" distR="0">
            <wp:extent cx="4829175" cy="3638550"/>
            <wp:effectExtent l="19050" t="0" r="9525" b="0"/>
            <wp:docPr id="7" name="图片 3" descr="http://www.hesitan.com:80/pdres/201305/20130520100913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esitan.com:80/pdres/201305/20130520100913120.jpg"/>
                    <pic:cNvPicPr>
                      <a:picLocks noChangeAspect="1" noChangeArrowheads="1"/>
                    </pic:cNvPicPr>
                  </pic:nvPicPr>
                  <pic:blipFill>
                    <a:blip r:embed="rId6"/>
                    <a:srcRect/>
                    <a:stretch>
                      <a:fillRect/>
                    </a:stretch>
                  </pic:blipFill>
                  <pic:spPr bwMode="auto">
                    <a:xfrm>
                      <a:off x="0" y="0"/>
                      <a:ext cx="4829175" cy="3638550"/>
                    </a:xfrm>
                    <a:prstGeom prst="rect">
                      <a:avLst/>
                    </a:prstGeom>
                    <a:noFill/>
                    <a:ln w="9525">
                      <a:noFill/>
                      <a:miter lim="800000"/>
                      <a:headEnd/>
                      <a:tailEnd/>
                    </a:ln>
                  </pic:spPr>
                </pic:pic>
              </a:graphicData>
            </a:graphic>
          </wp:inline>
        </w:drawing>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w:t>
      </w:r>
      <w:r w:rsidRPr="00795FAC">
        <w:rPr>
          <w:rFonts w:ascii="Arial" w:eastAsia="宋体" w:hAnsi="Arial" w:cs="Arial"/>
          <w:color w:val="2B2B2B"/>
          <w:kern w:val="0"/>
          <w:sz w:val="32"/>
          <w:szCs w:val="32"/>
        </w:rPr>
        <w:t>*</w:t>
      </w:r>
      <w:r w:rsidRPr="00795FAC">
        <w:rPr>
          <w:rFonts w:ascii="Arial" w:eastAsia="宋体" w:hAnsi="Arial" w:cs="Arial"/>
          <w:color w:val="2B2B2B"/>
          <w:kern w:val="0"/>
          <w:sz w:val="32"/>
          <w:szCs w:val="32"/>
        </w:rPr>
        <w:t>数据来自</w:t>
      </w:r>
      <w:r w:rsidRPr="00795FAC">
        <w:rPr>
          <w:rFonts w:ascii="Arial" w:eastAsia="宋体" w:hAnsi="Arial" w:cs="Arial"/>
          <w:color w:val="2B2B2B"/>
          <w:kern w:val="0"/>
          <w:sz w:val="32"/>
          <w:szCs w:val="32"/>
        </w:rPr>
        <w:t>Jaderborg</w:t>
      </w:r>
      <w:r w:rsidRPr="00795FAC">
        <w:rPr>
          <w:rFonts w:ascii="Arial" w:eastAsia="宋体" w:hAnsi="Arial" w:cs="Arial"/>
          <w:color w:val="2B2B2B"/>
          <w:kern w:val="0"/>
          <w:sz w:val="32"/>
          <w:szCs w:val="32"/>
        </w:rPr>
        <w:t>等，</w:t>
      </w:r>
      <w:r w:rsidRPr="00795FAC">
        <w:rPr>
          <w:rFonts w:ascii="Arial" w:eastAsia="宋体" w:hAnsi="Arial" w:cs="Arial"/>
          <w:color w:val="2B2B2B"/>
          <w:kern w:val="0"/>
          <w:sz w:val="32"/>
          <w:szCs w:val="32"/>
        </w:rPr>
        <w:t>2011.</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w:t>
      </w:r>
      <w:r w:rsidRPr="00795FAC">
        <w:rPr>
          <w:rFonts w:ascii="Arial" w:eastAsia="宋体" w:hAnsi="Arial" w:cs="Arial"/>
          <w:color w:val="2B2B2B"/>
          <w:kern w:val="0"/>
          <w:sz w:val="32"/>
          <w:szCs w:val="32"/>
        </w:rPr>
        <w:t>**</w:t>
      </w:r>
      <w:r w:rsidRPr="00795FAC">
        <w:rPr>
          <w:rFonts w:ascii="Arial" w:eastAsia="宋体" w:hAnsi="Arial" w:cs="Arial"/>
          <w:color w:val="2B2B2B"/>
          <w:kern w:val="0"/>
          <w:sz w:val="32"/>
          <w:szCs w:val="32"/>
        </w:rPr>
        <w:t>数据来自</w:t>
      </w:r>
      <w:r w:rsidRPr="00795FAC">
        <w:rPr>
          <w:rFonts w:ascii="Arial" w:eastAsia="宋体" w:hAnsi="Arial" w:cs="Arial"/>
          <w:color w:val="2B2B2B"/>
          <w:kern w:val="0"/>
          <w:sz w:val="32"/>
          <w:szCs w:val="32"/>
        </w:rPr>
        <w:t>Miller</w:t>
      </w:r>
      <w:r w:rsidRPr="00795FAC">
        <w:rPr>
          <w:rFonts w:ascii="Arial" w:eastAsia="宋体" w:hAnsi="Arial" w:cs="Arial"/>
          <w:color w:val="2B2B2B"/>
          <w:kern w:val="0"/>
          <w:sz w:val="32"/>
          <w:szCs w:val="32"/>
        </w:rPr>
        <w:t>等，</w:t>
      </w:r>
      <w:r w:rsidRPr="00795FAC">
        <w:rPr>
          <w:rFonts w:ascii="Arial" w:eastAsia="宋体" w:hAnsi="Arial" w:cs="Arial"/>
          <w:color w:val="2B2B2B"/>
          <w:kern w:val="0"/>
          <w:sz w:val="32"/>
          <w:szCs w:val="32"/>
        </w:rPr>
        <w:t>2007.</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需要注意的是三个限制采食的研究中牛都有增重，尽管他们没有自由采食的牛增重的那么多。这提示牛的初始体况和干草质量可能是能否成功采用这一策略的重要因素。</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lastRenderedPageBreak/>
        <w:t xml:space="preserve">　　如果牛的初始体况比较差或干草质量特别差，母牛的生产表现、初生犊牛的健康以及繁殖效率都会大打折扣。</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采用限制饲喂的策略，估计自由采食的采食量，再决定限制饲喂的幅度是一个关键因素。美国科学研究委员会发表的估计粗饲料采食量的公式，已经被许多母牛</w:t>
      </w:r>
      <w:r w:rsidRPr="00795FAC">
        <w:rPr>
          <w:rFonts w:ascii="Arial" w:eastAsia="宋体" w:hAnsi="Arial" w:cs="Arial"/>
          <w:color w:val="2B2B2B"/>
          <w:kern w:val="0"/>
          <w:sz w:val="32"/>
          <w:szCs w:val="32"/>
        </w:rPr>
        <w:t>/</w:t>
      </w:r>
      <w:r w:rsidRPr="00795FAC">
        <w:rPr>
          <w:rFonts w:ascii="Arial" w:eastAsia="宋体" w:hAnsi="Arial" w:cs="Arial"/>
          <w:color w:val="2B2B2B"/>
          <w:kern w:val="0"/>
          <w:sz w:val="32"/>
          <w:szCs w:val="32"/>
        </w:rPr>
        <w:t>犊牛营养评价软件所采纳。</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比如，俄荷拉玛州立大学的母牛营养软件</w:t>
      </w:r>
      <w:r w:rsidRPr="00795FAC">
        <w:rPr>
          <w:rFonts w:ascii="Arial" w:eastAsia="宋体" w:hAnsi="Arial" w:cs="Arial"/>
          <w:color w:val="2B2B2B"/>
          <w:kern w:val="0"/>
          <w:sz w:val="32"/>
          <w:szCs w:val="32"/>
        </w:rPr>
        <w:t>(http://beefextension.com)</w:t>
      </w:r>
      <w:r w:rsidRPr="00795FAC">
        <w:rPr>
          <w:rFonts w:ascii="Arial" w:eastAsia="宋体" w:hAnsi="Arial" w:cs="Arial"/>
          <w:color w:val="2B2B2B"/>
          <w:kern w:val="0"/>
          <w:sz w:val="32"/>
          <w:szCs w:val="32"/>
        </w:rPr>
        <w:t>结合了母牛的体型大小、繁殖阶段、牛奶产量和粗饲料质量来估计干物质的采食量。这个软件和其它软件都能用来估计不同限饲水平的母牛表现。对头胎牛和消瘦年老的母牛不推荐采用限制饲喂这一策略。</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w:t>
      </w:r>
      <w:r w:rsidRPr="00795FAC">
        <w:rPr>
          <w:rFonts w:ascii="Arial" w:eastAsia="宋体" w:hAnsi="Arial" w:cs="Arial"/>
          <w:b/>
          <w:bCs/>
          <w:color w:val="2B2B2B"/>
          <w:kern w:val="0"/>
          <w:sz w:val="32"/>
          <w:szCs w:val="32"/>
        </w:rPr>
        <w:t xml:space="preserve">　干草饲喂器</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我们的研究人员最近还研究了专为减少饲草损耗而设计的干草饲喂器的效果，评价了两种开放底盘和两种封闭底盘的干草饲喂器。</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开放底盘饲喂器的干草损耗量平均为草捆初始重的</w:t>
      </w:r>
      <w:r w:rsidRPr="00795FAC">
        <w:rPr>
          <w:rFonts w:ascii="Arial" w:eastAsia="宋体" w:hAnsi="Arial" w:cs="Arial"/>
          <w:color w:val="2B2B2B"/>
          <w:kern w:val="0"/>
          <w:sz w:val="32"/>
          <w:szCs w:val="32"/>
        </w:rPr>
        <w:t>21%</w:t>
      </w:r>
      <w:r w:rsidRPr="00795FAC">
        <w:rPr>
          <w:rFonts w:ascii="Arial" w:eastAsia="宋体" w:hAnsi="Arial" w:cs="Arial"/>
          <w:color w:val="2B2B2B"/>
          <w:kern w:val="0"/>
          <w:sz w:val="32"/>
          <w:szCs w:val="32"/>
        </w:rPr>
        <w:t>。这两种饲喂器比较轻便，方便使用且比较便宜。所以，它们是俄荷拉玛使用最为广泛的干草饲喂器。</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lastRenderedPageBreak/>
        <w:t xml:space="preserve">　　封闭底盘的饲喂器能将饲草的损耗量降到</w:t>
      </w:r>
      <w:r w:rsidRPr="00795FAC">
        <w:rPr>
          <w:rFonts w:ascii="Arial" w:eastAsia="宋体" w:hAnsi="Arial" w:cs="Arial"/>
          <w:color w:val="2B2B2B"/>
          <w:kern w:val="0"/>
          <w:sz w:val="32"/>
          <w:szCs w:val="32"/>
        </w:rPr>
        <w:t>13%</w:t>
      </w:r>
      <w:r w:rsidRPr="00795FAC">
        <w:rPr>
          <w:rFonts w:ascii="Arial" w:eastAsia="宋体" w:hAnsi="Arial" w:cs="Arial"/>
          <w:color w:val="2B2B2B"/>
          <w:kern w:val="0"/>
          <w:sz w:val="32"/>
          <w:szCs w:val="32"/>
        </w:rPr>
        <w:t>。但是，一种改良中心饲喂器其底盘也是密封的，能把饲草损耗量降到只有</w:t>
      </w:r>
      <w:r w:rsidRPr="00795FAC">
        <w:rPr>
          <w:rFonts w:ascii="Arial" w:eastAsia="宋体" w:hAnsi="Arial" w:cs="Arial"/>
          <w:color w:val="2B2B2B"/>
          <w:kern w:val="0"/>
          <w:sz w:val="32"/>
          <w:szCs w:val="32"/>
        </w:rPr>
        <w:t>5%</w:t>
      </w:r>
      <w:r w:rsidRPr="00795FAC">
        <w:rPr>
          <w:rFonts w:ascii="Arial" w:eastAsia="宋体" w:hAnsi="Arial" w:cs="Arial"/>
          <w:color w:val="2B2B2B"/>
          <w:kern w:val="0"/>
          <w:sz w:val="32"/>
          <w:szCs w:val="32"/>
        </w:rPr>
        <w:t>。这种饲喂器与开放底盘的饲喂器相比，笨重而且价格昂贵。</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不过，假设饲草的价格是</w:t>
      </w:r>
      <w:r w:rsidRPr="00795FAC">
        <w:rPr>
          <w:rFonts w:ascii="Arial" w:eastAsia="宋体" w:hAnsi="Arial" w:cs="Arial"/>
          <w:color w:val="2B2B2B"/>
          <w:kern w:val="0"/>
          <w:sz w:val="32"/>
          <w:szCs w:val="32"/>
        </w:rPr>
        <w:t>120</w:t>
      </w:r>
      <w:r w:rsidRPr="00795FAC">
        <w:rPr>
          <w:rFonts w:ascii="Arial" w:eastAsia="宋体" w:hAnsi="Arial" w:cs="Arial"/>
          <w:color w:val="2B2B2B"/>
          <w:kern w:val="0"/>
          <w:sz w:val="32"/>
          <w:szCs w:val="32"/>
        </w:rPr>
        <w:t>美元</w:t>
      </w:r>
      <w:r w:rsidRPr="00795FAC">
        <w:rPr>
          <w:rFonts w:ascii="Arial" w:eastAsia="宋体" w:hAnsi="Arial" w:cs="Arial"/>
          <w:color w:val="2B2B2B"/>
          <w:kern w:val="0"/>
          <w:sz w:val="32"/>
          <w:szCs w:val="32"/>
        </w:rPr>
        <w:t>/</w:t>
      </w:r>
      <w:r w:rsidRPr="00795FAC">
        <w:rPr>
          <w:rFonts w:ascii="Arial" w:eastAsia="宋体" w:hAnsi="Arial" w:cs="Arial"/>
          <w:color w:val="2B2B2B"/>
          <w:kern w:val="0"/>
          <w:sz w:val="32"/>
          <w:szCs w:val="32"/>
        </w:rPr>
        <w:t>吨，饲喂期为</w:t>
      </w:r>
      <w:r w:rsidRPr="00795FAC">
        <w:rPr>
          <w:rFonts w:ascii="Arial" w:eastAsia="宋体" w:hAnsi="Arial" w:cs="Arial"/>
          <w:color w:val="2B2B2B"/>
          <w:kern w:val="0"/>
          <w:sz w:val="32"/>
          <w:szCs w:val="32"/>
        </w:rPr>
        <w:t>120</w:t>
      </w:r>
      <w:r w:rsidRPr="00795FAC">
        <w:rPr>
          <w:rFonts w:ascii="Arial" w:eastAsia="宋体" w:hAnsi="Arial" w:cs="Arial"/>
          <w:color w:val="2B2B2B"/>
          <w:kern w:val="0"/>
          <w:sz w:val="32"/>
          <w:szCs w:val="32"/>
        </w:rPr>
        <w:t>天，开放底盘饲喂器和改良中心饲喂器一个饲喂季的差异为</w:t>
      </w:r>
      <w:r w:rsidRPr="00795FAC">
        <w:rPr>
          <w:rFonts w:ascii="Arial" w:eastAsia="宋体" w:hAnsi="Arial" w:cs="Arial"/>
          <w:color w:val="2B2B2B"/>
          <w:kern w:val="0"/>
          <w:sz w:val="32"/>
          <w:szCs w:val="32"/>
        </w:rPr>
        <w:t>468.22</w:t>
      </w:r>
      <w:r w:rsidRPr="00795FAC">
        <w:rPr>
          <w:rFonts w:ascii="Arial" w:eastAsia="宋体" w:hAnsi="Arial" w:cs="Arial"/>
          <w:color w:val="2B2B2B"/>
          <w:kern w:val="0"/>
          <w:sz w:val="32"/>
          <w:szCs w:val="32"/>
        </w:rPr>
        <w:t>美元。尤其是饲草价格特别贵的时候，很少有牛场能够接受饲草损耗量达</w:t>
      </w:r>
      <w:r w:rsidRPr="00795FAC">
        <w:rPr>
          <w:rFonts w:ascii="Arial" w:eastAsia="宋体" w:hAnsi="Arial" w:cs="Arial"/>
          <w:color w:val="2B2B2B"/>
          <w:kern w:val="0"/>
          <w:sz w:val="32"/>
          <w:szCs w:val="32"/>
        </w:rPr>
        <w:t>21%</w:t>
      </w:r>
      <w:r w:rsidRPr="00795FAC">
        <w:rPr>
          <w:rFonts w:ascii="Arial" w:eastAsia="宋体" w:hAnsi="Arial" w:cs="Arial"/>
          <w:color w:val="2B2B2B"/>
          <w:kern w:val="0"/>
          <w:sz w:val="32"/>
          <w:szCs w:val="32"/>
        </w:rPr>
        <w:t>的情况。</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w:t>
      </w:r>
      <w:r w:rsidRPr="00795FAC">
        <w:rPr>
          <w:rFonts w:ascii="Arial" w:eastAsia="宋体" w:hAnsi="Arial" w:cs="Arial"/>
          <w:b/>
          <w:bCs/>
          <w:color w:val="2B2B2B"/>
          <w:kern w:val="0"/>
          <w:sz w:val="32"/>
          <w:szCs w:val="32"/>
        </w:rPr>
        <w:t xml:space="preserve">　离子载体</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对放牧和饲喂干草的牛添加离子载体能增加粗饲料日粮的能量，因而减少干草的需求。以前的研究发现莫能菌素</w:t>
      </w:r>
      <w:r w:rsidRPr="00795FAC">
        <w:rPr>
          <w:rFonts w:ascii="Arial" w:eastAsia="宋体" w:hAnsi="Arial" w:cs="Arial"/>
          <w:color w:val="2B2B2B"/>
          <w:kern w:val="0"/>
          <w:sz w:val="32"/>
          <w:szCs w:val="32"/>
        </w:rPr>
        <w:t>(</w:t>
      </w:r>
      <w:r w:rsidRPr="00795FAC">
        <w:rPr>
          <w:rFonts w:ascii="Arial" w:eastAsia="宋体" w:hAnsi="Arial" w:cs="Arial"/>
          <w:color w:val="2B2B2B"/>
          <w:kern w:val="0"/>
          <w:sz w:val="32"/>
          <w:szCs w:val="32"/>
        </w:rPr>
        <w:t>瘤胃素</w:t>
      </w:r>
      <w:r w:rsidRPr="00795FAC">
        <w:rPr>
          <w:rFonts w:ascii="Arial" w:eastAsia="宋体" w:hAnsi="Arial" w:cs="Arial"/>
          <w:color w:val="2B2B2B"/>
          <w:kern w:val="0"/>
          <w:sz w:val="32"/>
          <w:szCs w:val="32"/>
        </w:rPr>
        <w:t>)</w:t>
      </w:r>
      <w:r w:rsidRPr="00795FAC">
        <w:rPr>
          <w:rFonts w:ascii="Arial" w:eastAsia="宋体" w:hAnsi="Arial" w:cs="Arial"/>
          <w:color w:val="2B2B2B"/>
          <w:kern w:val="0"/>
          <w:sz w:val="32"/>
          <w:szCs w:val="32"/>
        </w:rPr>
        <w:t>和拉沙里菌素</w:t>
      </w:r>
      <w:r w:rsidRPr="00795FAC">
        <w:rPr>
          <w:rFonts w:ascii="Arial" w:eastAsia="宋体" w:hAnsi="Arial" w:cs="Arial"/>
          <w:color w:val="2B2B2B"/>
          <w:kern w:val="0"/>
          <w:sz w:val="32"/>
          <w:szCs w:val="32"/>
        </w:rPr>
        <w:t>(Bovatec)</w:t>
      </w:r>
      <w:r w:rsidRPr="00795FAC">
        <w:rPr>
          <w:rFonts w:ascii="Arial" w:eastAsia="宋体" w:hAnsi="Arial" w:cs="Arial"/>
          <w:color w:val="2B2B2B"/>
          <w:kern w:val="0"/>
          <w:sz w:val="32"/>
          <w:szCs w:val="32"/>
        </w:rPr>
        <w:t>能改善生长牛的增重。但是，莫能菌素是唯一被批准的离子载体仅可在成年肉牛母牛上使用来改善饲料效率。</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研究发现莫能菌素能减少干草采食量大约</w:t>
      </w:r>
      <w:r w:rsidRPr="00795FAC">
        <w:rPr>
          <w:rFonts w:ascii="Arial" w:eastAsia="宋体" w:hAnsi="Arial" w:cs="Arial"/>
          <w:color w:val="2B2B2B"/>
          <w:kern w:val="0"/>
          <w:sz w:val="32"/>
          <w:szCs w:val="32"/>
        </w:rPr>
        <w:t>10%</w:t>
      </w:r>
      <w:r w:rsidRPr="00795FAC">
        <w:rPr>
          <w:rFonts w:ascii="Arial" w:eastAsia="宋体" w:hAnsi="Arial" w:cs="Arial"/>
          <w:color w:val="2B2B2B"/>
          <w:kern w:val="0"/>
          <w:sz w:val="32"/>
          <w:szCs w:val="32"/>
        </w:rPr>
        <w:t>，仍能维持几乎相同的增重</w:t>
      </w:r>
      <w:r w:rsidRPr="00795FAC">
        <w:rPr>
          <w:rFonts w:ascii="Arial" w:eastAsia="宋体" w:hAnsi="Arial" w:cs="Arial"/>
          <w:color w:val="2B2B2B"/>
          <w:kern w:val="0"/>
          <w:sz w:val="32"/>
          <w:szCs w:val="32"/>
        </w:rPr>
        <w:t>(Turner</w:t>
      </w:r>
      <w:r w:rsidRPr="00795FAC">
        <w:rPr>
          <w:rFonts w:ascii="Arial" w:eastAsia="宋体" w:hAnsi="Arial" w:cs="Arial"/>
          <w:color w:val="2B2B2B"/>
          <w:kern w:val="0"/>
          <w:sz w:val="32"/>
          <w:szCs w:val="32"/>
        </w:rPr>
        <w:t>等</w:t>
      </w:r>
      <w:r w:rsidRPr="00795FAC">
        <w:rPr>
          <w:rFonts w:ascii="Arial" w:eastAsia="宋体" w:hAnsi="Arial" w:cs="Arial"/>
          <w:color w:val="2B2B2B"/>
          <w:kern w:val="0"/>
          <w:sz w:val="32"/>
          <w:szCs w:val="32"/>
        </w:rPr>
        <w:t xml:space="preserve">, 1980;Clanton </w:t>
      </w:r>
      <w:r w:rsidRPr="00795FAC">
        <w:rPr>
          <w:rFonts w:ascii="Arial" w:eastAsia="宋体" w:hAnsi="Arial" w:cs="Arial"/>
          <w:color w:val="2B2B2B"/>
          <w:kern w:val="0"/>
          <w:sz w:val="32"/>
          <w:szCs w:val="32"/>
        </w:rPr>
        <w:t>等</w:t>
      </w:r>
      <w:r w:rsidRPr="00795FAC">
        <w:rPr>
          <w:rFonts w:ascii="Arial" w:eastAsia="宋体" w:hAnsi="Arial" w:cs="Arial"/>
          <w:color w:val="2B2B2B"/>
          <w:kern w:val="0"/>
          <w:sz w:val="32"/>
          <w:szCs w:val="32"/>
        </w:rPr>
        <w:t>,1981)</w:t>
      </w:r>
      <w:r w:rsidRPr="00795FAC">
        <w:rPr>
          <w:rFonts w:ascii="Arial" w:eastAsia="宋体" w:hAnsi="Arial" w:cs="Arial"/>
          <w:color w:val="2B2B2B"/>
          <w:kern w:val="0"/>
          <w:sz w:val="32"/>
          <w:szCs w:val="32"/>
        </w:rPr>
        <w:t>。</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我们最近进行了一项研究发现对母牛饲喂</w:t>
      </w:r>
      <w:r w:rsidRPr="00795FAC">
        <w:rPr>
          <w:rFonts w:ascii="Arial" w:eastAsia="宋体" w:hAnsi="Arial" w:cs="Arial"/>
          <w:color w:val="2B2B2B"/>
          <w:kern w:val="0"/>
          <w:sz w:val="32"/>
          <w:szCs w:val="32"/>
        </w:rPr>
        <w:t>200</w:t>
      </w:r>
      <w:r w:rsidRPr="00795FAC">
        <w:rPr>
          <w:rFonts w:ascii="Arial" w:eastAsia="宋体" w:hAnsi="Arial" w:cs="Arial"/>
          <w:color w:val="2B2B2B"/>
          <w:kern w:val="0"/>
          <w:sz w:val="32"/>
          <w:szCs w:val="32"/>
        </w:rPr>
        <w:t>克的莫能菌素能获得额外每头牛每天</w:t>
      </w:r>
      <w:r w:rsidRPr="00795FAC">
        <w:rPr>
          <w:rFonts w:ascii="Arial" w:eastAsia="宋体" w:hAnsi="Arial" w:cs="Arial"/>
          <w:color w:val="2B2B2B"/>
          <w:kern w:val="0"/>
          <w:sz w:val="32"/>
          <w:szCs w:val="32"/>
        </w:rPr>
        <w:t>230</w:t>
      </w:r>
      <w:r w:rsidRPr="00795FAC">
        <w:rPr>
          <w:rFonts w:ascii="Arial" w:eastAsia="宋体" w:hAnsi="Arial" w:cs="Arial"/>
          <w:color w:val="2B2B2B"/>
          <w:kern w:val="0"/>
          <w:sz w:val="32"/>
          <w:szCs w:val="32"/>
        </w:rPr>
        <w:t>克的增重，在</w:t>
      </w:r>
      <w:r w:rsidRPr="00795FAC">
        <w:rPr>
          <w:rFonts w:ascii="Arial" w:eastAsia="宋体" w:hAnsi="Arial" w:cs="Arial"/>
          <w:color w:val="2B2B2B"/>
          <w:kern w:val="0"/>
          <w:sz w:val="32"/>
          <w:szCs w:val="32"/>
        </w:rPr>
        <w:t>58</w:t>
      </w:r>
      <w:r w:rsidRPr="00795FAC">
        <w:rPr>
          <w:rFonts w:ascii="Arial" w:eastAsia="宋体" w:hAnsi="Arial" w:cs="Arial"/>
          <w:color w:val="2B2B2B"/>
          <w:kern w:val="0"/>
          <w:sz w:val="32"/>
          <w:szCs w:val="32"/>
        </w:rPr>
        <w:t>天的试验期间能获得大约</w:t>
      </w:r>
      <w:r w:rsidRPr="00795FAC">
        <w:rPr>
          <w:rFonts w:ascii="Arial" w:eastAsia="宋体" w:hAnsi="Arial" w:cs="Arial"/>
          <w:color w:val="2B2B2B"/>
          <w:kern w:val="0"/>
          <w:sz w:val="32"/>
          <w:szCs w:val="32"/>
        </w:rPr>
        <w:t>0.5</w:t>
      </w:r>
      <w:r w:rsidRPr="00795FAC">
        <w:rPr>
          <w:rFonts w:ascii="Arial" w:eastAsia="宋体" w:hAnsi="Arial" w:cs="Arial"/>
          <w:color w:val="2B2B2B"/>
          <w:kern w:val="0"/>
          <w:sz w:val="32"/>
          <w:szCs w:val="32"/>
        </w:rPr>
        <w:t>个体况评分。更为重要的是，粗饲料消化率大为改善，导致母牛的生产表现也改善。</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lastRenderedPageBreak/>
        <w:t xml:space="preserve">　　可以把在日粮中添加莫能菌素看作提高了低质量干草日粮</w:t>
      </w:r>
      <w:r w:rsidRPr="00795FAC">
        <w:rPr>
          <w:rFonts w:ascii="Arial" w:eastAsia="宋体" w:hAnsi="Arial" w:cs="Arial"/>
          <w:color w:val="2B2B2B"/>
          <w:kern w:val="0"/>
          <w:sz w:val="32"/>
          <w:szCs w:val="32"/>
        </w:rPr>
        <w:t>15%</w:t>
      </w:r>
      <w:r w:rsidRPr="00795FAC">
        <w:rPr>
          <w:rFonts w:ascii="Arial" w:eastAsia="宋体" w:hAnsi="Arial" w:cs="Arial"/>
          <w:color w:val="2B2B2B"/>
          <w:kern w:val="0"/>
          <w:sz w:val="32"/>
          <w:szCs w:val="32"/>
        </w:rPr>
        <w:t>的净能。换句话说，就是需要较少的日粮就能获得相同的生产表现。</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这也是为什么肉牛业使用这项技术如此广泛，又坚持了如此长时间，归根就是能持续地改善饲料效率。这项技术和好处也能同样在母牛</w:t>
      </w:r>
      <w:r w:rsidRPr="00795FAC">
        <w:rPr>
          <w:rFonts w:ascii="Arial" w:eastAsia="宋体" w:hAnsi="Arial" w:cs="Arial"/>
          <w:color w:val="2B2B2B"/>
          <w:kern w:val="0"/>
          <w:sz w:val="32"/>
          <w:szCs w:val="32"/>
        </w:rPr>
        <w:t xml:space="preserve">/ </w:t>
      </w:r>
      <w:r w:rsidRPr="00795FAC">
        <w:rPr>
          <w:rFonts w:ascii="Arial" w:eastAsia="宋体" w:hAnsi="Arial" w:cs="Arial"/>
          <w:color w:val="2B2B2B"/>
          <w:kern w:val="0"/>
          <w:sz w:val="32"/>
          <w:szCs w:val="32"/>
        </w:rPr>
        <w:t>犊牛上使用。</w:t>
      </w:r>
    </w:p>
    <w:p w:rsidR="00795FAC" w:rsidRPr="00795FAC" w:rsidRDefault="00795FAC" w:rsidP="00795FA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5FAC">
        <w:rPr>
          <w:rFonts w:ascii="Arial" w:eastAsia="宋体" w:hAnsi="Arial" w:cs="Arial"/>
          <w:color w:val="2B2B2B"/>
          <w:kern w:val="0"/>
          <w:sz w:val="32"/>
          <w:szCs w:val="32"/>
        </w:rPr>
        <w:t xml:space="preserve">　　没有研究来评价两项或两项以上技术联合使用的效果。不过，两项或三项技术联合使用可能使干草使用量减少</w:t>
      </w:r>
      <w:r w:rsidRPr="00795FAC">
        <w:rPr>
          <w:rFonts w:ascii="Arial" w:eastAsia="宋体" w:hAnsi="Arial" w:cs="Arial"/>
          <w:color w:val="2B2B2B"/>
          <w:kern w:val="0"/>
          <w:sz w:val="32"/>
          <w:szCs w:val="32"/>
        </w:rPr>
        <w:t>30%</w:t>
      </w:r>
      <w:r w:rsidRPr="00795FAC">
        <w:rPr>
          <w:rFonts w:ascii="Arial" w:eastAsia="宋体" w:hAnsi="Arial" w:cs="Arial"/>
          <w:color w:val="2B2B2B"/>
          <w:kern w:val="0"/>
          <w:sz w:val="32"/>
          <w:szCs w:val="32"/>
        </w:rPr>
        <w:t>～</w:t>
      </w:r>
      <w:r w:rsidRPr="00795FAC">
        <w:rPr>
          <w:rFonts w:ascii="Arial" w:eastAsia="宋体" w:hAnsi="Arial" w:cs="Arial"/>
          <w:color w:val="2B2B2B"/>
          <w:kern w:val="0"/>
          <w:sz w:val="32"/>
          <w:szCs w:val="32"/>
        </w:rPr>
        <w:t>40%</w:t>
      </w:r>
      <w:r w:rsidRPr="00795FAC">
        <w:rPr>
          <w:rFonts w:ascii="Arial" w:eastAsia="宋体" w:hAnsi="Arial" w:cs="Arial"/>
          <w:color w:val="2B2B2B"/>
          <w:kern w:val="0"/>
          <w:sz w:val="32"/>
          <w:szCs w:val="32"/>
        </w:rPr>
        <w:t>。</w:t>
      </w:r>
    </w:p>
    <w:p w:rsidR="00795FAC" w:rsidRPr="00785311" w:rsidRDefault="00795FAC" w:rsidP="00795FAC">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7"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795FAC" w:rsidRPr="00785311" w:rsidRDefault="00795FAC" w:rsidP="00795FAC">
      <w:pPr>
        <w:pStyle w:val="a6"/>
        <w:ind w:firstLine="480"/>
        <w:rPr>
          <w:rStyle w:val="a7"/>
          <w:rFonts w:ascii="黑体" w:eastAsia="黑体" w:hAnsi="黑体"/>
          <w:b w:val="0"/>
          <w:color w:val="000000"/>
          <w:sz w:val="21"/>
          <w:szCs w:val="21"/>
        </w:rPr>
      </w:pPr>
      <w:r w:rsidRPr="00785311">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795FAC" w:rsidRPr="00785311" w:rsidRDefault="00795FAC" w:rsidP="00795FAC">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795FAC" w:rsidRPr="00917A63" w:rsidRDefault="00ED29CA" w:rsidP="00795FAC">
      <w:pPr>
        <w:pStyle w:val="a6"/>
        <w:ind w:firstLine="480"/>
        <w:rPr>
          <w:b/>
          <w:color w:val="000000"/>
        </w:rPr>
      </w:pPr>
      <w:hyperlink r:id="rId8" w:history="1">
        <w:r w:rsidR="00795FAC" w:rsidRPr="00917A63">
          <w:rPr>
            <w:rStyle w:val="a8"/>
            <w:rFonts w:hint="eastAsia"/>
            <w:b/>
          </w:rPr>
          <w:t>下载：智能二代(Genetic Algorithm)饲料配方软件(猪、鸡饲料配方计算)</w:t>
        </w:r>
      </w:hyperlink>
    </w:p>
    <w:p w:rsidR="00795FAC" w:rsidRDefault="00795FAC" w:rsidP="00795FAC">
      <w:pPr>
        <w:jc w:val="center"/>
        <w:rPr>
          <w:b/>
          <w:color w:val="FF0000"/>
          <w:sz w:val="32"/>
          <w:szCs w:val="32"/>
        </w:rPr>
      </w:pPr>
    </w:p>
    <w:p w:rsidR="00795FAC" w:rsidRPr="004F7A8F" w:rsidRDefault="00ED29CA" w:rsidP="00795FAC">
      <w:pPr>
        <w:jc w:val="center"/>
        <w:rPr>
          <w:b/>
          <w:color w:val="FF0000"/>
          <w:sz w:val="32"/>
          <w:szCs w:val="32"/>
        </w:rPr>
      </w:pPr>
      <w:hyperlink r:id="rId9" w:history="1">
        <w:r w:rsidR="00795FAC" w:rsidRPr="004F7A8F">
          <w:rPr>
            <w:rStyle w:val="a8"/>
            <w:rFonts w:hint="eastAsia"/>
            <w:b/>
            <w:color w:val="FF0000"/>
            <w:sz w:val="32"/>
            <w:szCs w:val="32"/>
          </w:rPr>
          <w:t>下载</w:t>
        </w:r>
        <w:r w:rsidR="00795FAC" w:rsidRPr="004F7A8F">
          <w:rPr>
            <w:rStyle w:val="a8"/>
            <w:rFonts w:hint="eastAsia"/>
            <w:b/>
            <w:color w:val="FF0000"/>
            <w:sz w:val="32"/>
            <w:szCs w:val="32"/>
          </w:rPr>
          <w:t>1</w:t>
        </w:r>
        <w:r w:rsidR="00795FAC" w:rsidRPr="004F7A8F">
          <w:rPr>
            <w:rStyle w:val="a8"/>
            <w:rFonts w:hint="eastAsia"/>
            <w:b/>
            <w:color w:val="FF0000"/>
            <w:sz w:val="32"/>
            <w:szCs w:val="32"/>
          </w:rPr>
          <w:t>：</w:t>
        </w:r>
        <w:r w:rsidR="00795FAC" w:rsidRPr="004F7A8F">
          <w:rPr>
            <w:rStyle w:val="a8"/>
            <w:rFonts w:hint="eastAsia"/>
            <w:b/>
            <w:color w:val="FF0000"/>
            <w:sz w:val="32"/>
            <w:szCs w:val="32"/>
          </w:rPr>
          <w:t xml:space="preserve">Feed mix </w:t>
        </w:r>
        <w:r w:rsidR="00795FAC" w:rsidRPr="004F7A8F">
          <w:rPr>
            <w:rStyle w:val="a8"/>
            <w:rFonts w:hint="eastAsia"/>
            <w:b/>
            <w:color w:val="FF0000"/>
            <w:sz w:val="32"/>
            <w:szCs w:val="32"/>
          </w:rPr>
          <w:t>反刍营养百分百</w:t>
        </w:r>
        <w:r w:rsidR="00795FAC" w:rsidRPr="004F7A8F">
          <w:rPr>
            <w:rStyle w:val="a8"/>
            <w:rFonts w:hint="eastAsia"/>
            <w:b/>
            <w:color w:val="FF0000"/>
            <w:sz w:val="32"/>
            <w:szCs w:val="32"/>
          </w:rPr>
          <w:t>-</w:t>
        </w:r>
        <w:r w:rsidR="00795FAC" w:rsidRPr="004F7A8F">
          <w:rPr>
            <w:rStyle w:val="a8"/>
            <w:rFonts w:hint="eastAsia"/>
            <w:b/>
            <w:color w:val="FF0000"/>
            <w:sz w:val="32"/>
            <w:szCs w:val="32"/>
          </w:rPr>
          <w:t>饲料配方软件</w:t>
        </w:r>
        <w:r w:rsidR="00795FAC" w:rsidRPr="004F7A8F">
          <w:rPr>
            <w:rStyle w:val="a8"/>
            <w:rFonts w:hint="eastAsia"/>
            <w:b/>
            <w:color w:val="FF0000"/>
            <w:sz w:val="32"/>
            <w:szCs w:val="32"/>
          </w:rPr>
          <w:t>(</w:t>
        </w:r>
        <w:r w:rsidR="00795FAC" w:rsidRPr="004F7A8F">
          <w:rPr>
            <w:rStyle w:val="a8"/>
            <w:rFonts w:hint="eastAsia"/>
            <w:b/>
            <w:color w:val="FF0000"/>
            <w:sz w:val="32"/>
            <w:szCs w:val="32"/>
          </w:rPr>
          <w:t>第四版</w:t>
        </w:r>
        <w:r w:rsidR="00795FAC" w:rsidRPr="004F7A8F">
          <w:rPr>
            <w:rStyle w:val="a8"/>
            <w:rFonts w:hint="eastAsia"/>
            <w:b/>
            <w:color w:val="FF0000"/>
            <w:sz w:val="32"/>
            <w:szCs w:val="32"/>
          </w:rPr>
          <w:t>)</w:t>
        </w:r>
      </w:hyperlink>
    </w:p>
    <w:p w:rsidR="00795FAC" w:rsidRPr="004F7A8F" w:rsidRDefault="00795FAC" w:rsidP="00795FAC">
      <w:pPr>
        <w:jc w:val="center"/>
        <w:rPr>
          <w:b/>
          <w:color w:val="FF0000"/>
          <w:sz w:val="32"/>
          <w:szCs w:val="32"/>
        </w:rPr>
      </w:pPr>
      <w:r>
        <w:rPr>
          <w:rFonts w:hint="eastAsia"/>
          <w:b/>
          <w:color w:val="FF0000"/>
          <w:sz w:val="32"/>
          <w:szCs w:val="32"/>
        </w:rPr>
        <w:t>QQ:1400072515</w:t>
      </w:r>
    </w:p>
    <w:p w:rsidR="00795FAC" w:rsidRPr="004F7A8F" w:rsidRDefault="00ED29CA" w:rsidP="00795FAC">
      <w:pPr>
        <w:jc w:val="center"/>
        <w:rPr>
          <w:b/>
          <w:color w:val="FF0000"/>
          <w:sz w:val="32"/>
          <w:szCs w:val="32"/>
        </w:rPr>
      </w:pPr>
      <w:hyperlink r:id="rId10" w:history="1">
        <w:r w:rsidR="00795FAC" w:rsidRPr="004F7A8F">
          <w:rPr>
            <w:rStyle w:val="a8"/>
            <w:rFonts w:hint="eastAsia"/>
            <w:b/>
            <w:color w:val="FF0000"/>
            <w:sz w:val="32"/>
            <w:szCs w:val="32"/>
          </w:rPr>
          <w:t>下载</w:t>
        </w:r>
        <w:r w:rsidR="00795FAC" w:rsidRPr="004F7A8F">
          <w:rPr>
            <w:rStyle w:val="a8"/>
            <w:rFonts w:hint="eastAsia"/>
            <w:b/>
            <w:color w:val="FF0000"/>
            <w:sz w:val="32"/>
            <w:szCs w:val="32"/>
          </w:rPr>
          <w:t>2</w:t>
        </w:r>
        <w:r w:rsidR="00795FAC" w:rsidRPr="004F7A8F">
          <w:rPr>
            <w:rStyle w:val="a8"/>
            <w:rFonts w:hint="eastAsia"/>
            <w:b/>
            <w:color w:val="FF0000"/>
            <w:sz w:val="32"/>
            <w:szCs w:val="32"/>
          </w:rPr>
          <w:t>：</w:t>
        </w:r>
        <w:r w:rsidR="00795FAC" w:rsidRPr="004F7A8F">
          <w:rPr>
            <w:rStyle w:val="a8"/>
            <w:rFonts w:hint="eastAsia"/>
            <w:b/>
            <w:color w:val="FF0000"/>
            <w:sz w:val="32"/>
            <w:szCs w:val="32"/>
          </w:rPr>
          <w:t xml:space="preserve">Feed mix </w:t>
        </w:r>
        <w:r w:rsidR="00795FAC" w:rsidRPr="004F7A8F">
          <w:rPr>
            <w:rStyle w:val="a8"/>
            <w:rFonts w:hint="eastAsia"/>
            <w:b/>
            <w:color w:val="FF0000"/>
            <w:sz w:val="32"/>
            <w:szCs w:val="32"/>
          </w:rPr>
          <w:t>反刍营养百分百</w:t>
        </w:r>
        <w:r w:rsidR="00795FAC" w:rsidRPr="004F7A8F">
          <w:rPr>
            <w:rStyle w:val="a8"/>
            <w:rFonts w:hint="eastAsia"/>
            <w:b/>
            <w:color w:val="FF0000"/>
            <w:sz w:val="32"/>
            <w:szCs w:val="32"/>
          </w:rPr>
          <w:t>-</w:t>
        </w:r>
        <w:r w:rsidR="00795FAC" w:rsidRPr="004F7A8F">
          <w:rPr>
            <w:rStyle w:val="a8"/>
            <w:rFonts w:hint="eastAsia"/>
            <w:b/>
            <w:color w:val="FF0000"/>
            <w:sz w:val="32"/>
            <w:szCs w:val="32"/>
          </w:rPr>
          <w:t>饲料配方软件</w:t>
        </w:r>
        <w:r w:rsidR="00795FAC" w:rsidRPr="004F7A8F">
          <w:rPr>
            <w:rStyle w:val="a8"/>
            <w:rFonts w:hint="eastAsia"/>
            <w:b/>
            <w:color w:val="FF0000"/>
            <w:sz w:val="32"/>
            <w:szCs w:val="32"/>
          </w:rPr>
          <w:t>(</w:t>
        </w:r>
        <w:r w:rsidR="00795FAC" w:rsidRPr="004F7A8F">
          <w:rPr>
            <w:rStyle w:val="a8"/>
            <w:rFonts w:hint="eastAsia"/>
            <w:b/>
            <w:color w:val="FF0000"/>
            <w:sz w:val="32"/>
            <w:szCs w:val="32"/>
          </w:rPr>
          <w:t>第四版</w:t>
        </w:r>
        <w:r w:rsidR="00795FAC" w:rsidRPr="004F7A8F">
          <w:rPr>
            <w:rStyle w:val="a8"/>
            <w:rFonts w:hint="eastAsia"/>
            <w:b/>
            <w:color w:val="FF0000"/>
            <w:sz w:val="32"/>
            <w:szCs w:val="32"/>
          </w:rPr>
          <w:t>)</w:t>
        </w:r>
      </w:hyperlink>
    </w:p>
    <w:p w:rsidR="00F36F76" w:rsidRDefault="00F36F76" w:rsidP="00F36F76">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ED29CA" w:rsidRPr="00F36F76" w:rsidRDefault="00ED29CA"/>
    <w:sectPr w:rsidR="00ED29CA" w:rsidRPr="00F36F76" w:rsidSect="00ED29CA">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0657" w:rsidRDefault="008C0657" w:rsidP="00795FAC">
      <w:r>
        <w:separator/>
      </w:r>
    </w:p>
  </w:endnote>
  <w:endnote w:type="continuationSeparator" w:id="1">
    <w:p w:rsidR="008C0657" w:rsidRDefault="008C0657" w:rsidP="00795F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0657" w:rsidRDefault="008C0657" w:rsidP="00795FAC">
      <w:r>
        <w:separator/>
      </w:r>
    </w:p>
  </w:footnote>
  <w:footnote w:type="continuationSeparator" w:id="1">
    <w:p w:rsidR="008C0657" w:rsidRDefault="008C0657" w:rsidP="00795F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AC" w:rsidRDefault="00795FAC">
    <w:pPr>
      <w:pStyle w:val="a3"/>
    </w:pPr>
    <w:r w:rsidRPr="00795FAC">
      <w:rPr>
        <w:rFonts w:hint="eastAsia"/>
      </w:rPr>
      <w:t xml:space="preserve">Feed mix </w:t>
    </w:r>
    <w:r w:rsidRPr="00795FAC">
      <w:rPr>
        <w:rFonts w:hint="eastAsia"/>
      </w:rPr>
      <w:t>反刍营养百分百</w:t>
    </w:r>
    <w:r w:rsidRPr="00795FAC">
      <w:rPr>
        <w:rFonts w:hint="eastAsia"/>
      </w:rPr>
      <w:t>-</w:t>
    </w:r>
    <w:r w:rsidRPr="00795FAC">
      <w:rPr>
        <w:rFonts w:hint="eastAsia"/>
      </w:rPr>
      <w:t>饲料配方软件</w:t>
    </w:r>
    <w:r w:rsidRPr="00795FAC">
      <w:rPr>
        <w:rFonts w:hint="eastAsia"/>
      </w:rPr>
      <w:t>(</w:t>
    </w:r>
    <w:r w:rsidRPr="00795FAC">
      <w:rPr>
        <w:rFonts w:hint="eastAsia"/>
      </w:rPr>
      <w:t>奶牛、肉牛、肉羊饲料日粮</w:t>
    </w:r>
    <w:r w:rsidRPr="00795FAC">
      <w:rPr>
        <w:rFonts w:hint="eastAsia"/>
      </w:rPr>
      <w:t>TMR</w:t>
    </w:r>
    <w:r w:rsidRPr="00795FAC">
      <w:rPr>
        <w:rFonts w:hint="eastAsia"/>
      </w:rPr>
      <w:t>计算</w:t>
    </w:r>
    <w:r w:rsidRPr="00795FAC">
      <w:rPr>
        <w:rFonts w:hint="eastAsia"/>
      </w:rPr>
      <w:t>)QQ</w:t>
    </w:r>
    <w:r w:rsidRPr="00795FAC">
      <w:rPr>
        <w:rFonts w:hint="eastAsia"/>
      </w:rPr>
      <w:t>：</w:t>
    </w:r>
    <w:r w:rsidRPr="00795FAC">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5FAC"/>
    <w:rsid w:val="00795FAC"/>
    <w:rsid w:val="008C0657"/>
    <w:rsid w:val="00ED29CA"/>
    <w:rsid w:val="00F36F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F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5F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95FAC"/>
    <w:rPr>
      <w:sz w:val="18"/>
      <w:szCs w:val="18"/>
    </w:rPr>
  </w:style>
  <w:style w:type="paragraph" w:styleId="a4">
    <w:name w:val="footer"/>
    <w:basedOn w:val="a"/>
    <w:link w:val="Char0"/>
    <w:uiPriority w:val="99"/>
    <w:semiHidden/>
    <w:unhideWhenUsed/>
    <w:rsid w:val="00795FA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95FAC"/>
    <w:rPr>
      <w:sz w:val="18"/>
      <w:szCs w:val="18"/>
    </w:rPr>
  </w:style>
  <w:style w:type="paragraph" w:styleId="a5">
    <w:name w:val="Balloon Text"/>
    <w:basedOn w:val="a"/>
    <w:link w:val="Char1"/>
    <w:uiPriority w:val="99"/>
    <w:semiHidden/>
    <w:unhideWhenUsed/>
    <w:rsid w:val="00795FAC"/>
    <w:rPr>
      <w:sz w:val="18"/>
      <w:szCs w:val="18"/>
    </w:rPr>
  </w:style>
  <w:style w:type="character" w:customStyle="1" w:styleId="Char1">
    <w:name w:val="批注框文本 Char"/>
    <w:basedOn w:val="a0"/>
    <w:link w:val="a5"/>
    <w:uiPriority w:val="99"/>
    <w:semiHidden/>
    <w:rsid w:val="00795FAC"/>
    <w:rPr>
      <w:sz w:val="18"/>
      <w:szCs w:val="18"/>
    </w:rPr>
  </w:style>
  <w:style w:type="paragraph" w:styleId="a6">
    <w:name w:val="Normal (Web)"/>
    <w:basedOn w:val="a"/>
    <w:uiPriority w:val="99"/>
    <w:rsid w:val="00795FAC"/>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795FAC"/>
    <w:rPr>
      <w:b/>
      <w:bCs/>
    </w:rPr>
  </w:style>
  <w:style w:type="character" w:styleId="a8">
    <w:name w:val="Hyperlink"/>
    <w:basedOn w:val="a0"/>
    <w:rsid w:val="00795FAC"/>
    <w:rPr>
      <w:color w:val="0000FF"/>
      <w:u w:val="single"/>
    </w:rPr>
  </w:style>
</w:styles>
</file>

<file path=word/webSettings.xml><?xml version="1.0" encoding="utf-8"?>
<w:webSettings xmlns:r="http://schemas.openxmlformats.org/officeDocument/2006/relationships" xmlns:w="http://schemas.openxmlformats.org/wordprocessingml/2006/main">
  <w:divs>
    <w:div w:id="128191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751</Words>
  <Characters>4286</Characters>
  <Application>Microsoft Office Word</Application>
  <DocSecurity>0</DocSecurity>
  <Lines>35</Lines>
  <Paragraphs>10</Paragraphs>
  <ScaleCrop>false</ScaleCrop>
  <Company/>
  <LinksUpToDate>false</LinksUpToDate>
  <CharactersWithSpaces>5027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2015-01-04T13:29:00Z</dcterms:created>
  <dcterms:modified xsi:type="dcterms:W3CDTF">2015-01-06T01:55:00Z</dcterms:modified>
</cp:coreProperties>
</file>