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26CE" w:rsidRPr="00BF26CE" w:rsidRDefault="00BF26CE" w:rsidP="00BF26CE">
      <w:pPr>
        <w:widowControl/>
        <w:jc w:val="center"/>
        <w:rPr>
          <w:rFonts w:ascii="宋体" w:eastAsia="宋体" w:hAnsi="宋体" w:cs="宋体"/>
          <w:kern w:val="0"/>
          <w:sz w:val="24"/>
          <w:szCs w:val="24"/>
        </w:rPr>
      </w:pPr>
      <w:r w:rsidRPr="00BF26CE">
        <w:rPr>
          <w:rFonts w:ascii="微软雅黑" w:eastAsia="微软雅黑" w:hAnsi="微软雅黑" w:cs="宋体"/>
          <w:color w:val="000000"/>
          <w:kern w:val="0"/>
          <w:sz w:val="39"/>
          <w:szCs w:val="39"/>
        </w:rPr>
        <w:t>养羊技术：制作青贮饲料</w:t>
      </w:r>
    </w:p>
    <w:p w:rsidR="00BF26CE" w:rsidRPr="00BF26CE" w:rsidRDefault="00BF26CE" w:rsidP="00BF26CE">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9525" cy="9525"/>
            <wp:effectExtent l="0" t="0" r="0" b="0"/>
            <wp:docPr id="1" name="paperPicArea" descr="http://cnc.qzs.qq.com/ac/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perPicArea" descr="http://cnc.qzs.qq.com/ac/b.gif"/>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BF26CE" w:rsidRPr="00BF26CE" w:rsidRDefault="00BF26CE" w:rsidP="00BF26CE">
      <w:pPr>
        <w:widowControl/>
        <w:spacing w:before="100" w:beforeAutospacing="1" w:after="100" w:afterAutospacing="1"/>
        <w:ind w:firstLine="480"/>
        <w:jc w:val="left"/>
        <w:rPr>
          <w:rFonts w:ascii="宋体" w:eastAsia="宋体" w:hAnsi="宋体" w:cs="宋体"/>
          <w:color w:val="000000"/>
          <w:kern w:val="0"/>
          <w:szCs w:val="21"/>
        </w:rPr>
      </w:pPr>
      <w:r w:rsidRPr="00BF26CE">
        <w:rPr>
          <w:rFonts w:ascii="宋体" w:eastAsia="宋体" w:hAnsi="宋体" w:cs="宋体"/>
          <w:color w:val="000000"/>
          <w:kern w:val="0"/>
          <w:sz w:val="36"/>
          <w:szCs w:val="36"/>
        </w:rPr>
        <w:t>青贮的方法可分为一般青贮和特殊青贮，特殊青贮又可分为半干青贮、混合青贮、添加剂青贮等。一般青贮的制作方法如下。</w:t>
      </w:r>
    </w:p>
    <w:p w:rsidR="00BF26CE" w:rsidRPr="00BF26CE" w:rsidRDefault="00BF26CE" w:rsidP="00BF26CE">
      <w:pPr>
        <w:widowControl/>
        <w:spacing w:before="100" w:beforeAutospacing="1" w:after="100" w:afterAutospacing="1"/>
        <w:ind w:firstLine="480"/>
        <w:jc w:val="left"/>
        <w:rPr>
          <w:rFonts w:ascii="宋体" w:eastAsia="宋体" w:hAnsi="宋体" w:cs="宋体"/>
          <w:color w:val="000000"/>
          <w:kern w:val="0"/>
          <w:szCs w:val="21"/>
        </w:rPr>
      </w:pPr>
      <w:r w:rsidRPr="00BF26CE">
        <w:rPr>
          <w:rFonts w:ascii="宋体" w:eastAsia="宋体" w:hAnsi="宋体" w:cs="宋体"/>
          <w:color w:val="000000"/>
          <w:kern w:val="0"/>
          <w:sz w:val="36"/>
          <w:szCs w:val="36"/>
        </w:rPr>
        <w:t>（1）适时收割青贮原料。所谓适时收割是指在可消化养分产量最高时期收割。优质的青贮原料是调制优良青贮料的基础，一般玉米在乳熟期至蜡熟期、禾本科牧草在抽穗期、豆科牧草在开花初期收割为宜。收割适时，原料作物不仅产量高、品质好、而且水分含量适宜，青贮易成功。</w:t>
      </w:r>
    </w:p>
    <w:p w:rsidR="00BF26CE" w:rsidRPr="00BF26CE" w:rsidRDefault="00BF26CE" w:rsidP="00BF26CE">
      <w:pPr>
        <w:widowControl/>
        <w:spacing w:before="100" w:beforeAutospacing="1" w:after="100" w:afterAutospacing="1"/>
        <w:ind w:firstLine="480"/>
        <w:jc w:val="left"/>
        <w:rPr>
          <w:rFonts w:ascii="宋体" w:eastAsia="宋体" w:hAnsi="宋体" w:cs="宋体"/>
          <w:color w:val="000000"/>
          <w:kern w:val="0"/>
          <w:szCs w:val="21"/>
        </w:rPr>
      </w:pPr>
      <w:r w:rsidRPr="00BF26CE">
        <w:rPr>
          <w:rFonts w:ascii="宋体" w:eastAsia="宋体" w:hAnsi="宋体" w:cs="宋体"/>
          <w:color w:val="000000"/>
          <w:kern w:val="0"/>
          <w:sz w:val="36"/>
          <w:szCs w:val="36"/>
        </w:rPr>
        <w:t>（2）清理青贮设备。青贮饲料用完后，应及时清理青贮设备（青贮窖、池等），将污腐物清除干净，以备再次青贮使用。</w:t>
      </w:r>
    </w:p>
    <w:p w:rsidR="00BF26CE" w:rsidRPr="00BF26CE" w:rsidRDefault="00BF26CE" w:rsidP="00BF26CE">
      <w:pPr>
        <w:widowControl/>
        <w:spacing w:before="100" w:beforeAutospacing="1" w:after="100" w:afterAutospacing="1"/>
        <w:ind w:firstLine="480"/>
        <w:jc w:val="left"/>
        <w:rPr>
          <w:rFonts w:ascii="宋体" w:eastAsia="宋体" w:hAnsi="宋体" w:cs="宋体"/>
          <w:color w:val="000000"/>
          <w:kern w:val="0"/>
          <w:szCs w:val="21"/>
        </w:rPr>
      </w:pPr>
      <w:r w:rsidRPr="00BF26CE">
        <w:rPr>
          <w:rFonts w:ascii="宋体" w:eastAsia="宋体" w:hAnsi="宋体" w:cs="宋体"/>
          <w:color w:val="000000"/>
          <w:kern w:val="0"/>
          <w:sz w:val="36"/>
          <w:szCs w:val="36"/>
        </w:rPr>
        <w:t>（3）调节水分。青贮原料的含水量是影响青贮成败和品质的重要因素。一般禾本科饲料作物和牧草的含水量以65%～75％为好，豆科牧草含水量以60％～70％为好。质地粗硬的原料含水量可高些，以78％～82％为宜，幼嫩多汁的原料含水量应低些，以60％为最好。原料含水量较高时，可采用晾晒的方式或掺入</w:t>
      </w:r>
      <w:r w:rsidRPr="00BF26CE">
        <w:rPr>
          <w:rFonts w:ascii="宋体" w:eastAsia="宋体" w:hAnsi="宋体" w:cs="宋体"/>
          <w:color w:val="000000"/>
          <w:kern w:val="0"/>
          <w:sz w:val="36"/>
          <w:szCs w:val="36"/>
        </w:rPr>
        <w:lastRenderedPageBreak/>
        <w:t>粉碎的干草、干枯秆及谷物等含水量少的原料加以调节；含水量过低时，可掺入新割的含水量较高的原料混合青贮。青贮现场测定水分的方法为：抓一把刚切割的青贮原料用力挤压，若从手指缝向下流水，说明水分含量过高；若从手指缝不见出水，说明原料含水量过低；若从手指缝刚出水，又不流下，说明原料水分含量适宜。准确的水分含量测定方法是利用实验室的通风干燥箱烘干测定或用快速水分测定仪测定。</w:t>
      </w:r>
    </w:p>
    <w:p w:rsidR="00BF26CE" w:rsidRPr="00BF26CE" w:rsidRDefault="00BF26CE" w:rsidP="00BF26CE">
      <w:pPr>
        <w:widowControl/>
        <w:spacing w:before="100" w:beforeAutospacing="1" w:after="100" w:afterAutospacing="1"/>
        <w:ind w:firstLine="480"/>
        <w:jc w:val="left"/>
        <w:rPr>
          <w:rFonts w:ascii="宋体" w:eastAsia="宋体" w:hAnsi="宋体" w:cs="宋体"/>
          <w:color w:val="000000"/>
          <w:kern w:val="0"/>
          <w:szCs w:val="21"/>
        </w:rPr>
      </w:pPr>
      <w:r w:rsidRPr="00BF26CE">
        <w:rPr>
          <w:rFonts w:ascii="宋体" w:eastAsia="宋体" w:hAnsi="宋体" w:cs="宋体"/>
          <w:color w:val="000000"/>
          <w:kern w:val="0"/>
          <w:sz w:val="36"/>
          <w:szCs w:val="36"/>
        </w:rPr>
        <w:t>（4）切碎。青贮原料在入窖前均需切碎。切碎目的有两个：一是便于青贮时压实，以排除原料缝隙之间的空气；二是使原料中含糖的汁液渗出，湿润原料表面，有利于乳酸菌的迅速繁殖和发酵，提高青贮的品质。原料的切碎，常使用青贮联合收割机、青贮料切碎机，也可使用滚筒式铡草机。原料一般切成2～5厘米的长度。含水量多、质地柔软的原料可以切得长此；含水量少、质地较粗的原料可以切得短些。</w:t>
      </w:r>
    </w:p>
    <w:p w:rsidR="00BF26CE" w:rsidRPr="00BF26CE" w:rsidRDefault="00BF26CE" w:rsidP="00BF26CE">
      <w:pPr>
        <w:widowControl/>
        <w:spacing w:before="100" w:beforeAutospacing="1" w:after="100" w:afterAutospacing="1"/>
        <w:ind w:firstLine="480"/>
        <w:jc w:val="left"/>
        <w:rPr>
          <w:rFonts w:ascii="宋体" w:eastAsia="宋体" w:hAnsi="宋体" w:cs="宋体"/>
          <w:color w:val="000000"/>
          <w:kern w:val="0"/>
          <w:szCs w:val="21"/>
        </w:rPr>
      </w:pPr>
      <w:r w:rsidRPr="00BF26CE">
        <w:rPr>
          <w:rFonts w:ascii="宋体" w:eastAsia="宋体" w:hAnsi="宋体" w:cs="宋体"/>
          <w:color w:val="000000"/>
          <w:kern w:val="0"/>
          <w:sz w:val="36"/>
          <w:szCs w:val="36"/>
        </w:rPr>
        <w:t>（5）装填和镇压。青贮原料的装填一要快速，二要压实。一旦开始装填，应尽快装满窖（池），不能拖拉，以避免原料在装满和密封之前腐败变质。青贮窖以一次装满为好，即使是大型青贮建筑物，也应在2～3天以内装满。装填过程中，每装30厘米（层高）</w:t>
      </w:r>
      <w:r w:rsidRPr="00BF26CE">
        <w:rPr>
          <w:rFonts w:ascii="宋体" w:eastAsia="宋体" w:hAnsi="宋体" w:cs="宋体"/>
          <w:color w:val="000000"/>
          <w:kern w:val="0"/>
          <w:sz w:val="36"/>
          <w:szCs w:val="36"/>
        </w:rPr>
        <w:lastRenderedPageBreak/>
        <w:t>就需要镇压一次。镇压时，特别要注意靠近墙和拐角的地方不能留有空隙。</w:t>
      </w:r>
    </w:p>
    <w:p w:rsidR="00BF26CE" w:rsidRPr="00BF26CE" w:rsidRDefault="00BF26CE" w:rsidP="00BF26CE">
      <w:pPr>
        <w:widowControl/>
        <w:spacing w:before="100" w:beforeAutospacing="1" w:after="100" w:afterAutospacing="1"/>
        <w:ind w:firstLine="480"/>
        <w:jc w:val="left"/>
        <w:rPr>
          <w:rFonts w:ascii="宋体" w:eastAsia="宋体" w:hAnsi="宋体" w:cs="宋体"/>
          <w:color w:val="000000"/>
          <w:kern w:val="0"/>
          <w:szCs w:val="21"/>
        </w:rPr>
      </w:pPr>
      <w:r w:rsidRPr="00BF26CE">
        <w:rPr>
          <w:rFonts w:ascii="宋体" w:eastAsia="宋体" w:hAnsi="宋体" w:cs="宋体"/>
          <w:color w:val="000000"/>
          <w:kern w:val="0"/>
          <w:sz w:val="36"/>
          <w:szCs w:val="36"/>
        </w:rPr>
        <w:t>（6）密封。原料装填完毕，立即密封和覆盖，隔绝空气并防止雨水渗入。</w:t>
      </w:r>
    </w:p>
    <w:p w:rsidR="00BF26CE" w:rsidRDefault="00BF26CE" w:rsidP="00BF26CE">
      <w:pPr>
        <w:pStyle w:val="a5"/>
        <w:ind w:firstLine="480"/>
        <w:rPr>
          <w:rFonts w:ascii="黑体" w:eastAsia="黑体" w:hAnsi="黑体"/>
          <w:color w:val="000000"/>
          <w:sz w:val="21"/>
          <w:szCs w:val="21"/>
        </w:rPr>
      </w:pPr>
      <w:r>
        <w:rPr>
          <w:rFonts w:ascii="黑体" w:eastAsia="黑体" w:hAnsi="黑体" w:hint="eastAsia"/>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7" w:tgtFrame="_blank" w:tooltip="http://mail.sina.com.cn/netdisk/download.php?id=05463188584c11109c5156c23f1bfd14bc" w:history="1">
        <w:r>
          <w:rPr>
            <w:rStyle w:val="a7"/>
            <w:rFonts w:ascii="黑体" w:eastAsia="黑体" w:hAnsi="黑体" w:hint="eastAsia"/>
            <w:color w:val="FF0000"/>
            <w:sz w:val="21"/>
            <w:szCs w:val="21"/>
            <w:u w:val="single"/>
          </w:rPr>
          <w:t>下载：多目标遗传算法在饲料配方设计中的应用</w:t>
        </w:r>
      </w:hyperlink>
      <w:r>
        <w:rPr>
          <w:rFonts w:ascii="黑体" w:eastAsia="黑体" w:hAnsi="黑体" w:hint="eastAsia"/>
          <w:color w:val="000000"/>
          <w:sz w:val="21"/>
          <w:szCs w:val="21"/>
        </w:rPr>
        <w:t>（算法理论）</w:t>
      </w:r>
    </w:p>
    <w:p w:rsidR="00BF26CE" w:rsidRDefault="00BF26CE" w:rsidP="00BF26CE">
      <w:pPr>
        <w:pStyle w:val="a5"/>
        <w:ind w:firstLine="480"/>
        <w:rPr>
          <w:rStyle w:val="a8"/>
          <w:b w:val="0"/>
        </w:rPr>
      </w:pPr>
      <w:r>
        <w:rPr>
          <w:rStyle w:val="a8"/>
          <w:rFonts w:ascii="黑体" w:eastAsia="黑体" w:hAnsi="黑体" w:hint="eastAsia"/>
          <w:sz w:val="21"/>
          <w:szCs w:val="21"/>
        </w:rPr>
        <w:t>软件反刍版本(反刍营养百分百)：以干物质为基础，采用过胃（能氮平衡）、过肠、MP（可代谢蛋白）中氨基酸含量对饲料日粮进行TMR计算。</w:t>
      </w:r>
    </w:p>
    <w:p w:rsidR="00BF26CE" w:rsidRDefault="00BF26CE" w:rsidP="00BF26CE">
      <w:pPr>
        <w:pStyle w:val="a5"/>
        <w:ind w:firstLine="480"/>
      </w:pPr>
      <w:r>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BF26CE" w:rsidRDefault="00BF26CE" w:rsidP="00BF26CE">
      <w:pPr>
        <w:pStyle w:val="a5"/>
        <w:ind w:firstLine="480"/>
        <w:jc w:val="center"/>
        <w:rPr>
          <w:rFonts w:ascii="黑体" w:eastAsia="黑体" w:hAnsi="黑体"/>
          <w:b/>
          <w:color w:val="FF0000"/>
          <w:sz w:val="21"/>
          <w:szCs w:val="21"/>
          <w:u w:val="single"/>
        </w:rPr>
      </w:pPr>
      <w:hyperlink r:id="rId8" w:history="1">
        <w:r>
          <w:rPr>
            <w:rStyle w:val="a7"/>
            <w:rFonts w:ascii="黑体" w:eastAsia="黑体" w:hAnsi="黑体" w:hint="eastAsia"/>
            <w:b/>
            <w:color w:val="FF0000"/>
            <w:sz w:val="21"/>
            <w:szCs w:val="21"/>
            <w:u w:val="single"/>
          </w:rPr>
          <w:t>下载：智能二代(Genetic Algorithm)饲料配方软件(猪、鸡饲料配方计算)</w:t>
        </w:r>
      </w:hyperlink>
    </w:p>
    <w:p w:rsidR="00BF26CE" w:rsidRDefault="00BF26CE" w:rsidP="00BF26CE">
      <w:pPr>
        <w:jc w:val="center"/>
        <w:rPr>
          <w:rFonts w:ascii="黑体" w:eastAsia="黑体" w:hAnsi="黑体"/>
          <w:b/>
          <w:color w:val="FF0000"/>
          <w:szCs w:val="21"/>
        </w:rPr>
      </w:pPr>
    </w:p>
    <w:p w:rsidR="00BF26CE" w:rsidRDefault="00BF26CE" w:rsidP="00BF26CE">
      <w:pPr>
        <w:jc w:val="center"/>
        <w:rPr>
          <w:rFonts w:ascii="黑体" w:eastAsia="黑体" w:hAnsi="黑体"/>
          <w:b/>
          <w:color w:val="FF0000"/>
          <w:szCs w:val="21"/>
          <w:u w:val="single"/>
        </w:rPr>
      </w:pPr>
      <w:hyperlink r:id="rId9" w:history="1">
        <w:r>
          <w:rPr>
            <w:rStyle w:val="a7"/>
            <w:rFonts w:ascii="黑体" w:eastAsia="黑体" w:hAnsi="黑体" w:hint="eastAsia"/>
            <w:b/>
            <w:color w:val="FF0000"/>
            <w:szCs w:val="21"/>
            <w:u w:val="single"/>
          </w:rPr>
          <w:t>下载1：Feed mix 反刍营养百分百-饲料配方软件(第四版)</w:t>
        </w:r>
      </w:hyperlink>
    </w:p>
    <w:p w:rsidR="00BF26CE" w:rsidRDefault="00BF26CE" w:rsidP="00BF26CE">
      <w:pPr>
        <w:jc w:val="center"/>
        <w:rPr>
          <w:rFonts w:ascii="黑体" w:eastAsia="黑体" w:hAnsi="黑体"/>
          <w:b/>
          <w:color w:val="0070C0"/>
          <w:szCs w:val="21"/>
        </w:rPr>
      </w:pPr>
      <w:r>
        <w:rPr>
          <w:rFonts w:ascii="黑体" w:eastAsia="黑体" w:hAnsi="黑体" w:hint="eastAsia"/>
          <w:b/>
          <w:color w:val="0070C0"/>
          <w:szCs w:val="21"/>
        </w:rPr>
        <w:t>QQ:1400072515</w:t>
      </w:r>
    </w:p>
    <w:p w:rsidR="00BF26CE" w:rsidRDefault="00BF26CE" w:rsidP="00BF26CE">
      <w:pPr>
        <w:jc w:val="center"/>
        <w:rPr>
          <w:rFonts w:ascii="黑体" w:eastAsia="黑体" w:hAnsi="黑体"/>
          <w:b/>
          <w:color w:val="FF0000"/>
          <w:szCs w:val="21"/>
          <w:u w:val="single"/>
        </w:rPr>
      </w:pPr>
      <w:hyperlink r:id="rId10" w:history="1">
        <w:r>
          <w:rPr>
            <w:rStyle w:val="a7"/>
            <w:rFonts w:ascii="黑体" w:eastAsia="黑体" w:hAnsi="黑体" w:hint="eastAsia"/>
            <w:b/>
            <w:color w:val="FF0000"/>
            <w:szCs w:val="21"/>
            <w:u w:val="single"/>
          </w:rPr>
          <w:t>下载2：Feed mix 反刍营养百分百-饲料配方软件(第四版)</w:t>
        </w:r>
      </w:hyperlink>
    </w:p>
    <w:p w:rsidR="00BF26CE" w:rsidRDefault="00BF26CE" w:rsidP="00BF26CE">
      <w:pPr>
        <w:jc w:val="center"/>
      </w:pPr>
      <w:r>
        <w:rPr>
          <w:rFonts w:ascii="黑体" w:eastAsia="黑体" w:hAnsi="黑体" w:hint="eastAsia"/>
          <w:sz w:val="24"/>
        </w:rPr>
        <w:t>其它下载</w:t>
      </w:r>
      <w:r>
        <w:rPr>
          <w:rFonts w:ascii="黑体" w:eastAsia="黑体" w:hAnsi="黑体" w:hint="eastAsia"/>
          <w:color w:val="FF0000"/>
          <w:szCs w:val="21"/>
          <w:u w:val="single"/>
        </w:rPr>
        <w:br/>
      </w:r>
      <w:hyperlink r:id="rId11" w:tgtFrame="_blank" w:tooltip="http://mail.sina.com.cn/netdisk/download.php?id=447faa01ee8d8a9249a6ab838efc2a1492" w:history="1">
        <w:r>
          <w:rPr>
            <w:rStyle w:val="a7"/>
            <w:rFonts w:ascii="黑体" w:eastAsia="黑体" w:hAnsi="黑体" w:hint="eastAsia"/>
            <w:color w:val="FF0000"/>
            <w:szCs w:val="21"/>
            <w:u w:val="single"/>
          </w:rPr>
          <w:t>如何计算养殖效果最好的饲料配方</w:t>
        </w:r>
      </w:hyperlink>
      <w:r>
        <w:rPr>
          <w:rFonts w:ascii="黑体" w:eastAsia="黑体" w:hAnsi="黑体" w:hint="eastAsia"/>
          <w:color w:val="FF0000"/>
          <w:szCs w:val="21"/>
          <w:u w:val="single"/>
        </w:rPr>
        <w:br/>
      </w:r>
      <w:hyperlink r:id="rId12" w:tgtFrame="_blank" w:tooltip="http://mail.sina.com.cn/netdisk/download.php?id=78fd279534792beaf2a54622352cbd1484" w:history="1">
        <w:r>
          <w:rPr>
            <w:rStyle w:val="a7"/>
            <w:rFonts w:ascii="黑体" w:eastAsia="黑体" w:hAnsi="黑体" w:hint="eastAsia"/>
            <w:color w:val="FF0000"/>
            <w:szCs w:val="21"/>
            <w:u w:val="single"/>
          </w:rPr>
          <w:t>如何计算具有市场竞争力的饲料配方</w:t>
        </w:r>
      </w:hyperlink>
      <w:r>
        <w:rPr>
          <w:rFonts w:ascii="黑体" w:eastAsia="黑体" w:hAnsi="黑体" w:hint="eastAsia"/>
          <w:color w:val="FF0000"/>
          <w:szCs w:val="21"/>
          <w:u w:val="single"/>
        </w:rPr>
        <w:br/>
      </w:r>
      <w:hyperlink r:id="rId13" w:tgtFrame="_blank" w:tooltip="http://mail.sina.com.cn/netdisk/download.php?id=2e2d884a7ec6eda8522f8c67a07140140c" w:history="1">
        <w:r>
          <w:rPr>
            <w:rStyle w:val="a7"/>
            <w:rFonts w:ascii="黑体" w:eastAsia="黑体" w:hAnsi="黑体" w:hint="eastAsia"/>
            <w:color w:val="FF0000"/>
            <w:szCs w:val="21"/>
            <w:u w:val="single"/>
          </w:rPr>
          <w:t>高品质猪鸡饲料配方-计算方法</w:t>
        </w:r>
      </w:hyperlink>
      <w:r>
        <w:rPr>
          <w:rFonts w:ascii="黑体" w:eastAsia="黑体" w:hAnsi="黑体" w:hint="eastAsia"/>
          <w:color w:val="FF0000"/>
          <w:szCs w:val="21"/>
          <w:u w:val="single"/>
        </w:rPr>
        <w:br/>
      </w:r>
    </w:p>
    <w:p w:rsidR="00125646" w:rsidRPr="00BF26CE" w:rsidRDefault="00125646"/>
    <w:sectPr w:rsidR="00125646" w:rsidRPr="00BF26CE">
      <w:head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5646" w:rsidRDefault="00125646" w:rsidP="00BF26CE">
      <w:r>
        <w:separator/>
      </w:r>
    </w:p>
  </w:endnote>
  <w:endnote w:type="continuationSeparator" w:id="1">
    <w:p w:rsidR="00125646" w:rsidRDefault="00125646" w:rsidP="00BF26C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5646" w:rsidRDefault="00125646" w:rsidP="00BF26CE">
      <w:r>
        <w:separator/>
      </w:r>
    </w:p>
  </w:footnote>
  <w:footnote w:type="continuationSeparator" w:id="1">
    <w:p w:rsidR="00125646" w:rsidRDefault="00125646" w:rsidP="00BF26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6CE" w:rsidRDefault="00BF26CE">
    <w:pPr>
      <w:pStyle w:val="a3"/>
    </w:pPr>
    <w:r w:rsidRPr="00BF26CE">
      <w:rPr>
        <w:rFonts w:hint="eastAsia"/>
      </w:rPr>
      <w:t xml:space="preserve">Feed mix </w:t>
    </w:r>
    <w:r w:rsidRPr="00BF26CE">
      <w:rPr>
        <w:rFonts w:hint="eastAsia"/>
      </w:rPr>
      <w:t>反刍营养百分百饲料软件</w:t>
    </w:r>
    <w:r w:rsidRPr="00BF26CE">
      <w:rPr>
        <w:rFonts w:hint="eastAsia"/>
      </w:rPr>
      <w:t>(</w:t>
    </w:r>
    <w:r w:rsidRPr="00BF26CE">
      <w:rPr>
        <w:rFonts w:hint="eastAsia"/>
      </w:rPr>
      <w:t>奶牛、肉牛、肉羊等饲料计算</w:t>
    </w:r>
    <w:r w:rsidRPr="00BF26CE">
      <w:rPr>
        <w:rFonts w:hint="eastAsia"/>
      </w:rPr>
      <w:t>)QQ:1400072515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F26CE"/>
    <w:rsid w:val="00125646"/>
    <w:rsid w:val="00BF26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F26C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F26CE"/>
    <w:rPr>
      <w:sz w:val="18"/>
      <w:szCs w:val="18"/>
    </w:rPr>
  </w:style>
  <w:style w:type="paragraph" w:styleId="a4">
    <w:name w:val="footer"/>
    <w:basedOn w:val="a"/>
    <w:link w:val="Char0"/>
    <w:uiPriority w:val="99"/>
    <w:semiHidden/>
    <w:unhideWhenUsed/>
    <w:rsid w:val="00BF26C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F26CE"/>
    <w:rPr>
      <w:sz w:val="18"/>
      <w:szCs w:val="18"/>
    </w:rPr>
  </w:style>
  <w:style w:type="paragraph" w:styleId="a5">
    <w:name w:val="Normal (Web)"/>
    <w:basedOn w:val="a"/>
    <w:uiPriority w:val="99"/>
    <w:semiHidden/>
    <w:unhideWhenUsed/>
    <w:rsid w:val="00BF26CE"/>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BF26CE"/>
    <w:rPr>
      <w:sz w:val="18"/>
      <w:szCs w:val="18"/>
    </w:rPr>
  </w:style>
  <w:style w:type="character" w:customStyle="1" w:styleId="Char1">
    <w:name w:val="批注框文本 Char"/>
    <w:basedOn w:val="a0"/>
    <w:link w:val="a6"/>
    <w:uiPriority w:val="99"/>
    <w:semiHidden/>
    <w:rsid w:val="00BF26CE"/>
    <w:rPr>
      <w:sz w:val="18"/>
      <w:szCs w:val="18"/>
    </w:rPr>
  </w:style>
  <w:style w:type="character" w:styleId="a7">
    <w:name w:val="Hyperlink"/>
    <w:basedOn w:val="a0"/>
    <w:rsid w:val="00BF26CE"/>
    <w:rPr>
      <w:strike w:val="0"/>
      <w:dstrike w:val="0"/>
      <w:color w:val="000000"/>
      <w:u w:val="none"/>
      <w:effect w:val="none"/>
    </w:rPr>
  </w:style>
  <w:style w:type="character" w:styleId="a8">
    <w:name w:val="Strong"/>
    <w:basedOn w:val="a0"/>
    <w:uiPriority w:val="22"/>
    <w:qFormat/>
    <w:rsid w:val="00BF26CE"/>
    <w:rPr>
      <w:b/>
      <w:bCs/>
    </w:rPr>
  </w:style>
</w:styles>
</file>

<file path=word/webSettings.xml><?xml version="1.0" encoding="utf-8"?>
<w:webSettings xmlns:r="http://schemas.openxmlformats.org/officeDocument/2006/relationships" xmlns:w="http://schemas.openxmlformats.org/wordprocessingml/2006/main">
  <w:divs>
    <w:div w:id="1179470821">
      <w:bodyDiv w:val="1"/>
      <w:marLeft w:val="0"/>
      <w:marRight w:val="0"/>
      <w:marTop w:val="0"/>
      <w:marBottom w:val="0"/>
      <w:divBdr>
        <w:top w:val="none" w:sz="0" w:space="0" w:color="auto"/>
        <w:left w:val="none" w:sz="0" w:space="0" w:color="auto"/>
        <w:bottom w:val="none" w:sz="0" w:space="0" w:color="auto"/>
        <w:right w:val="none" w:sz="0" w:space="0" w:color="auto"/>
      </w:divBdr>
      <w:divsChild>
        <w:div w:id="185020992">
          <w:marLeft w:val="0"/>
          <w:marRight w:val="0"/>
          <w:marTop w:val="0"/>
          <w:marBottom w:val="0"/>
          <w:divBdr>
            <w:top w:val="none" w:sz="0" w:space="0" w:color="auto"/>
            <w:left w:val="none" w:sz="0" w:space="0" w:color="auto"/>
            <w:bottom w:val="none" w:sz="0" w:space="0" w:color="auto"/>
            <w:right w:val="none" w:sz="0" w:space="0" w:color="auto"/>
          </w:divBdr>
          <w:divsChild>
            <w:div w:id="823161904">
              <w:marLeft w:val="0"/>
              <w:marRight w:val="0"/>
              <w:marTop w:val="0"/>
              <w:marBottom w:val="0"/>
              <w:divBdr>
                <w:top w:val="none" w:sz="0" w:space="0" w:color="auto"/>
                <w:left w:val="none" w:sz="0" w:space="0" w:color="auto"/>
                <w:bottom w:val="none" w:sz="0" w:space="0" w:color="auto"/>
                <w:right w:val="none" w:sz="0" w:space="0" w:color="auto"/>
              </w:divBdr>
              <w:divsChild>
                <w:div w:id="1846941439">
                  <w:marLeft w:val="0"/>
                  <w:marRight w:val="0"/>
                  <w:marTop w:val="0"/>
                  <w:marBottom w:val="0"/>
                  <w:divBdr>
                    <w:top w:val="none" w:sz="0" w:space="0" w:color="auto"/>
                    <w:left w:val="none" w:sz="0" w:space="0" w:color="auto"/>
                    <w:bottom w:val="none" w:sz="0" w:space="0" w:color="auto"/>
                    <w:right w:val="none" w:sz="0" w:space="0" w:color="auto"/>
                  </w:divBdr>
                  <w:divsChild>
                    <w:div w:id="429010463">
                      <w:marLeft w:val="0"/>
                      <w:marRight w:val="0"/>
                      <w:marTop w:val="0"/>
                      <w:marBottom w:val="0"/>
                      <w:divBdr>
                        <w:top w:val="none" w:sz="0" w:space="0" w:color="auto"/>
                        <w:left w:val="none" w:sz="0" w:space="0" w:color="auto"/>
                        <w:bottom w:val="none" w:sz="0" w:space="0" w:color="auto"/>
                        <w:right w:val="none" w:sz="0" w:space="0" w:color="auto"/>
                      </w:divBdr>
                      <w:divsChild>
                        <w:div w:id="422920117">
                          <w:marLeft w:val="0"/>
                          <w:marRight w:val="0"/>
                          <w:marTop w:val="0"/>
                          <w:marBottom w:val="0"/>
                          <w:divBdr>
                            <w:top w:val="none" w:sz="0" w:space="0" w:color="auto"/>
                            <w:left w:val="none" w:sz="0" w:space="0" w:color="auto"/>
                            <w:bottom w:val="none" w:sz="0" w:space="0" w:color="auto"/>
                            <w:right w:val="none" w:sz="0" w:space="0" w:color="auto"/>
                          </w:divBdr>
                          <w:divsChild>
                            <w:div w:id="997272152">
                              <w:marLeft w:val="0"/>
                              <w:marRight w:val="0"/>
                              <w:marTop w:val="0"/>
                              <w:marBottom w:val="0"/>
                              <w:divBdr>
                                <w:top w:val="none" w:sz="0" w:space="0" w:color="auto"/>
                                <w:left w:val="none" w:sz="0" w:space="0" w:color="auto"/>
                                <w:bottom w:val="none" w:sz="0" w:space="0" w:color="auto"/>
                                <w:right w:val="none" w:sz="0" w:space="0" w:color="auto"/>
                              </w:divBdr>
                              <w:divsChild>
                                <w:div w:id="1975865391">
                                  <w:marLeft w:val="0"/>
                                  <w:marRight w:val="0"/>
                                  <w:marTop w:val="0"/>
                                  <w:marBottom w:val="0"/>
                                  <w:divBdr>
                                    <w:top w:val="none" w:sz="0" w:space="0" w:color="auto"/>
                                    <w:left w:val="none" w:sz="0" w:space="0" w:color="auto"/>
                                    <w:bottom w:val="none" w:sz="0" w:space="0" w:color="auto"/>
                                    <w:right w:val="none" w:sz="0" w:space="0" w:color="auto"/>
                                  </w:divBdr>
                                  <w:divsChild>
                                    <w:div w:id="784232936">
                                      <w:marLeft w:val="0"/>
                                      <w:marRight w:val="0"/>
                                      <w:marTop w:val="0"/>
                                      <w:marBottom w:val="0"/>
                                      <w:divBdr>
                                        <w:top w:val="none" w:sz="0" w:space="0" w:color="auto"/>
                                        <w:left w:val="none" w:sz="0" w:space="0" w:color="auto"/>
                                        <w:bottom w:val="none" w:sz="0" w:space="0" w:color="auto"/>
                                        <w:right w:val="none" w:sz="0" w:space="0" w:color="auto"/>
                                      </w:divBdr>
                                      <w:divsChild>
                                        <w:div w:id="1382822293">
                                          <w:marLeft w:val="1080"/>
                                          <w:marRight w:val="0"/>
                                          <w:marTop w:val="0"/>
                                          <w:marBottom w:val="525"/>
                                          <w:divBdr>
                                            <w:top w:val="none" w:sz="0" w:space="0" w:color="auto"/>
                                            <w:left w:val="none" w:sz="0" w:space="0" w:color="auto"/>
                                            <w:bottom w:val="none" w:sz="0" w:space="0" w:color="auto"/>
                                            <w:right w:val="none" w:sz="0" w:space="0" w:color="auto"/>
                                          </w:divBdr>
                                        </w:div>
                                        <w:div w:id="999041472">
                                          <w:marLeft w:val="0"/>
                                          <w:marRight w:val="0"/>
                                          <w:marTop w:val="0"/>
                                          <w:marBottom w:val="0"/>
                                          <w:divBdr>
                                            <w:top w:val="none" w:sz="0" w:space="0" w:color="auto"/>
                                            <w:left w:val="none" w:sz="0" w:space="0" w:color="auto"/>
                                            <w:bottom w:val="none" w:sz="0" w:space="0" w:color="auto"/>
                                            <w:right w:val="none" w:sz="0" w:space="0" w:color="auto"/>
                                          </w:divBdr>
                                          <w:divsChild>
                                            <w:div w:id="1384712151">
                                              <w:marLeft w:val="0"/>
                                              <w:marRight w:val="0"/>
                                              <w:marTop w:val="0"/>
                                              <w:marBottom w:val="0"/>
                                              <w:divBdr>
                                                <w:top w:val="none" w:sz="0" w:space="0" w:color="auto"/>
                                                <w:left w:val="none" w:sz="0" w:space="0" w:color="auto"/>
                                                <w:bottom w:val="none" w:sz="0" w:space="0" w:color="auto"/>
                                                <w:right w:val="none" w:sz="0" w:space="0" w:color="auto"/>
                                              </w:divBdr>
                                              <w:divsChild>
                                                <w:div w:id="119873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c6a34f4ccd3c14275bf670b060bb5630ed" TargetMode="External"/><Relationship Id="rId13" Type="http://schemas.openxmlformats.org/officeDocument/2006/relationships/hyperlink" Target="http://mail.sina.com.cn/netdisk/download.php?id=2e2d884a7ec6eda8522f8c67a07140140c" TargetMode="External"/><Relationship Id="rId3" Type="http://schemas.openxmlformats.org/officeDocument/2006/relationships/webSettings" Target="webSettings.xml"/><Relationship Id="rId7" Type="http://schemas.openxmlformats.org/officeDocument/2006/relationships/hyperlink" Target="http://mail.sina.com.cn/netdisk/download.php?id=05463188584c11109c5156c23f1bfd14bc" TargetMode="External"/><Relationship Id="rId12" Type="http://schemas.openxmlformats.org/officeDocument/2006/relationships/hyperlink" Target="http://mail.sina.com.cn/netdisk/download.php?id=78fd279534792beaf2a54622352cbd1484"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yperlink" Target="http://mail.sina.com.cn/netdisk/download.php?id=447faa01ee8d8a9249a6ab838efc2a1492"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user.qzone.qq.com/1400072515/blog/1419724053" TargetMode="External"/><Relationship Id="rId4" Type="http://schemas.openxmlformats.org/officeDocument/2006/relationships/footnotes" Target="footnotes.xml"/><Relationship Id="rId9" Type="http://schemas.openxmlformats.org/officeDocument/2006/relationships/hyperlink" Target="http://mail.sina.com.cn/netdisk/download.php?id=9db58958dfa1e37685cf228f1e582530e6"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376</Words>
  <Characters>2149</Characters>
  <Application>Microsoft Office Word</Application>
  <DocSecurity>0</DocSecurity>
  <Lines>17</Lines>
  <Paragraphs>5</Paragraphs>
  <ScaleCrop>false</ScaleCrop>
  <Company/>
  <LinksUpToDate>false</LinksUpToDate>
  <CharactersWithSpaces>2520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2015-01-12T01:47:00Z</dcterms:created>
  <dcterms:modified xsi:type="dcterms:W3CDTF">2015-01-12T01:48:00Z</dcterms:modified>
</cp:coreProperties>
</file>