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86C" w:rsidRPr="00F6728A" w:rsidRDefault="00C1386C" w:rsidP="00C1386C">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F6728A">
        <w:rPr>
          <w:rFonts w:ascii="Arial" w:eastAsia="宋体" w:hAnsi="Arial" w:cs="Arial"/>
          <w:b/>
          <w:bCs/>
          <w:color w:val="01288D"/>
          <w:kern w:val="36"/>
          <w:sz w:val="33"/>
          <w:szCs w:val="33"/>
        </w:rPr>
        <w:t>优化奶牛生产力</w:t>
      </w:r>
      <w:r w:rsidRPr="00F6728A">
        <w:rPr>
          <w:rFonts w:ascii="Arial" w:eastAsia="宋体" w:hAnsi="Arial" w:cs="Arial"/>
          <w:b/>
          <w:bCs/>
          <w:color w:val="01288D"/>
          <w:kern w:val="36"/>
          <w:sz w:val="33"/>
          <w:szCs w:val="33"/>
        </w:rPr>
        <w:t>:</w:t>
      </w:r>
      <w:r w:rsidRPr="00F6728A">
        <w:rPr>
          <w:rFonts w:ascii="Arial" w:eastAsia="宋体" w:hAnsi="Arial" w:cs="Arial"/>
          <w:b/>
          <w:bCs/>
          <w:color w:val="01288D"/>
          <w:kern w:val="36"/>
          <w:sz w:val="33"/>
          <w:szCs w:val="33"/>
        </w:rPr>
        <w:t>基因组学与营养基因组技术</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6728A">
        <w:rPr>
          <w:rFonts w:ascii="Arial" w:eastAsia="宋体" w:hAnsi="Arial" w:cs="Arial"/>
          <w:color w:val="2B2B2B"/>
          <w:kern w:val="0"/>
          <w:szCs w:val="21"/>
        </w:rPr>
        <w:t xml:space="preserve">　　</w:t>
      </w:r>
      <w:r w:rsidRPr="00C1386C">
        <w:rPr>
          <w:rFonts w:ascii="Arial" w:eastAsia="宋体" w:hAnsi="Arial" w:cs="Arial"/>
          <w:b/>
          <w:bCs/>
          <w:color w:val="2B2B2B"/>
          <w:kern w:val="0"/>
          <w:sz w:val="32"/>
          <w:szCs w:val="32"/>
        </w:rPr>
        <w:t>基因组学对营养的应用</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w:t>
      </w:r>
      <w:r w:rsidRPr="00C1386C">
        <w:rPr>
          <w:rFonts w:ascii="Arial" w:eastAsia="宋体" w:hAnsi="Arial" w:cs="Arial"/>
          <w:b/>
          <w:bCs/>
          <w:color w:val="2B2B2B"/>
          <w:kern w:val="0"/>
          <w:sz w:val="32"/>
          <w:szCs w:val="32"/>
        </w:rPr>
        <w:t xml:space="preserve">　基因组的发展</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w:t>
      </w:r>
      <w:r w:rsidRPr="00C1386C">
        <w:rPr>
          <w:rFonts w:ascii="Arial" w:eastAsia="宋体" w:hAnsi="Arial" w:cs="Arial"/>
          <w:color w:val="2B2B2B"/>
          <w:kern w:val="0"/>
          <w:sz w:val="32"/>
          <w:szCs w:val="32"/>
        </w:rPr>
        <w:t>2009</w:t>
      </w:r>
      <w:r w:rsidRPr="00C1386C">
        <w:rPr>
          <w:rFonts w:ascii="Arial" w:eastAsia="宋体" w:hAnsi="Arial" w:cs="Arial"/>
          <w:color w:val="2B2B2B"/>
          <w:kern w:val="0"/>
          <w:sz w:val="32"/>
          <w:szCs w:val="32"/>
        </w:rPr>
        <w:t>年</w:t>
      </w:r>
      <w:r w:rsidRPr="00C1386C">
        <w:rPr>
          <w:rFonts w:ascii="Arial" w:eastAsia="宋体" w:hAnsi="Arial" w:cs="Arial"/>
          <w:color w:val="2B2B2B"/>
          <w:kern w:val="0"/>
          <w:sz w:val="32"/>
          <w:szCs w:val="32"/>
        </w:rPr>
        <w:t>4</w:t>
      </w:r>
      <w:r w:rsidRPr="00C1386C">
        <w:rPr>
          <w:rFonts w:ascii="Arial" w:eastAsia="宋体" w:hAnsi="Arial" w:cs="Arial"/>
          <w:color w:val="2B2B2B"/>
          <w:kern w:val="0"/>
          <w:sz w:val="32"/>
          <w:szCs w:val="32"/>
        </w:rPr>
        <w:t>月，著名的科学杂志以该期的封面和两篇论文宣告牛基因组的排列顺序</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牛基因组顺序和分析协作组等，</w:t>
      </w:r>
      <w:r w:rsidRPr="00C1386C">
        <w:rPr>
          <w:rFonts w:ascii="Arial" w:eastAsia="宋体" w:hAnsi="Arial" w:cs="Arial"/>
          <w:color w:val="2B2B2B"/>
          <w:kern w:val="0"/>
          <w:sz w:val="32"/>
          <w:szCs w:val="32"/>
        </w:rPr>
        <w:t>2009;</w:t>
      </w:r>
      <w:r w:rsidRPr="00C1386C">
        <w:rPr>
          <w:rFonts w:ascii="Arial" w:eastAsia="宋体" w:hAnsi="Arial" w:cs="Arial"/>
          <w:color w:val="2B2B2B"/>
          <w:kern w:val="0"/>
          <w:sz w:val="32"/>
          <w:szCs w:val="32"/>
        </w:rPr>
        <w:t>牛基因图谱协作组，</w:t>
      </w:r>
      <w:r w:rsidRPr="00C1386C">
        <w:rPr>
          <w:rFonts w:ascii="Arial" w:eastAsia="宋体" w:hAnsi="Arial" w:cs="Arial"/>
          <w:color w:val="2B2B2B"/>
          <w:kern w:val="0"/>
          <w:sz w:val="32"/>
          <w:szCs w:val="32"/>
        </w:rPr>
        <w:t>2009)</w:t>
      </w:r>
      <w:r w:rsidRPr="00C1386C">
        <w:rPr>
          <w:rFonts w:ascii="Arial" w:eastAsia="宋体" w:hAnsi="Arial" w:cs="Arial"/>
          <w:color w:val="2B2B2B"/>
          <w:kern w:val="0"/>
          <w:sz w:val="32"/>
          <w:szCs w:val="32"/>
        </w:rPr>
        <w:t>。牛的基因组在规模或大小上与人类和其他哺乳动物的基因组相似，含有约</w:t>
      </w:r>
      <w:r w:rsidRPr="00C1386C">
        <w:rPr>
          <w:rFonts w:ascii="Arial" w:eastAsia="宋体" w:hAnsi="Arial" w:cs="Arial"/>
          <w:color w:val="2B2B2B"/>
          <w:kern w:val="0"/>
          <w:sz w:val="32"/>
          <w:szCs w:val="32"/>
        </w:rPr>
        <w:t>30</w:t>
      </w:r>
      <w:r w:rsidRPr="00C1386C">
        <w:rPr>
          <w:rFonts w:ascii="Arial" w:eastAsia="宋体" w:hAnsi="Arial" w:cs="Arial"/>
          <w:color w:val="2B2B2B"/>
          <w:kern w:val="0"/>
          <w:sz w:val="32"/>
          <w:szCs w:val="32"/>
        </w:rPr>
        <w:t>亿对碱基和约</w:t>
      </w:r>
      <w:r w:rsidRPr="00C1386C">
        <w:rPr>
          <w:rFonts w:ascii="Arial" w:eastAsia="宋体" w:hAnsi="Arial" w:cs="Arial"/>
          <w:color w:val="2B2B2B"/>
          <w:kern w:val="0"/>
          <w:sz w:val="32"/>
          <w:szCs w:val="32"/>
        </w:rPr>
        <w:t>22000</w:t>
      </w:r>
      <w:r w:rsidRPr="00C1386C">
        <w:rPr>
          <w:rFonts w:ascii="Arial" w:eastAsia="宋体" w:hAnsi="Arial" w:cs="Arial"/>
          <w:color w:val="2B2B2B"/>
          <w:kern w:val="0"/>
          <w:sz w:val="32"/>
          <w:szCs w:val="32"/>
        </w:rPr>
        <w:t>个基因，这些特殊蛋白质的基因密码涉及到先前所讨论的生命周期。因此，牛基因组序列和新基因组手段的发展提供了更好理解奶牛生物学的机遇，并提出了鉴别动物生产效率差异的遗传基础框架，使之可以通过遗传选择或管理干预用于提高生产性能和动物健康</w:t>
      </w:r>
      <w:r w:rsidRPr="00C1386C">
        <w:rPr>
          <w:rFonts w:ascii="Arial" w:eastAsia="宋体" w:hAnsi="Arial" w:cs="Arial"/>
          <w:color w:val="2B2B2B"/>
          <w:kern w:val="0"/>
          <w:sz w:val="32"/>
          <w:szCs w:val="32"/>
        </w:rPr>
        <w:t>(Garrick</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w:t>
      </w:r>
      <w:r w:rsidRPr="00C1386C">
        <w:rPr>
          <w:rFonts w:ascii="Arial" w:eastAsia="宋体" w:hAnsi="Arial" w:cs="Arial"/>
          <w:color w:val="2B2B2B"/>
          <w:kern w:val="0"/>
          <w:sz w:val="32"/>
          <w:szCs w:val="32"/>
        </w:rPr>
        <w:t>。</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单核苷酸多态性</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代表了在</w:t>
      </w:r>
      <w:r w:rsidRPr="00C1386C">
        <w:rPr>
          <w:rFonts w:ascii="Arial" w:eastAsia="宋体" w:hAnsi="Arial" w:cs="Arial"/>
          <w:color w:val="2B2B2B"/>
          <w:kern w:val="0"/>
          <w:sz w:val="32"/>
          <w:szCs w:val="32"/>
        </w:rPr>
        <w:t>DNA</w:t>
      </w:r>
      <w:r w:rsidRPr="00C1386C">
        <w:rPr>
          <w:rFonts w:ascii="Arial" w:eastAsia="宋体" w:hAnsi="Arial" w:cs="Arial"/>
          <w:color w:val="2B2B2B"/>
          <w:kern w:val="0"/>
          <w:sz w:val="32"/>
          <w:szCs w:val="32"/>
        </w:rPr>
        <w:t>序列内核苷酸的基本变化。近期，美国农业部动物研究站</w:t>
      </w:r>
      <w:r w:rsidRPr="00C1386C">
        <w:rPr>
          <w:rFonts w:ascii="Arial" w:eastAsia="宋体" w:hAnsi="Arial" w:cs="Arial"/>
          <w:color w:val="2B2B2B"/>
          <w:kern w:val="0"/>
          <w:sz w:val="32"/>
          <w:szCs w:val="32"/>
        </w:rPr>
        <w:t>(USDA-ARS)</w:t>
      </w:r>
      <w:r w:rsidRPr="00C1386C">
        <w:rPr>
          <w:rFonts w:ascii="Arial" w:eastAsia="宋体" w:hAnsi="Arial" w:cs="Arial"/>
          <w:color w:val="2B2B2B"/>
          <w:kern w:val="0"/>
          <w:sz w:val="32"/>
          <w:szCs w:val="32"/>
        </w:rPr>
        <w:t>的科学家测定了</w:t>
      </w:r>
      <w:r w:rsidRPr="00C1386C">
        <w:rPr>
          <w:rFonts w:ascii="Arial" w:eastAsia="宋体" w:hAnsi="Arial" w:cs="Arial"/>
          <w:color w:val="2B2B2B"/>
          <w:kern w:val="0"/>
          <w:sz w:val="32"/>
          <w:szCs w:val="32"/>
        </w:rPr>
        <w:t>500</w:t>
      </w:r>
      <w:r w:rsidRPr="00C1386C">
        <w:rPr>
          <w:rFonts w:ascii="Arial" w:eastAsia="宋体" w:hAnsi="Arial" w:cs="Arial"/>
          <w:color w:val="2B2B2B"/>
          <w:kern w:val="0"/>
          <w:sz w:val="32"/>
          <w:szCs w:val="32"/>
        </w:rPr>
        <w:t>多头荷斯坦母牛和公牛的基因型，鉴别了与诸如奶产量和长寿性的选择性状相关的</w:t>
      </w:r>
      <w:r w:rsidRPr="00C1386C">
        <w:rPr>
          <w:rFonts w:ascii="Arial" w:eastAsia="宋体" w:hAnsi="Arial" w:cs="Arial"/>
          <w:color w:val="2B2B2B"/>
          <w:kern w:val="0"/>
          <w:sz w:val="32"/>
          <w:szCs w:val="32"/>
        </w:rPr>
        <w:t>38000</w:t>
      </w:r>
      <w:r w:rsidRPr="00C1386C">
        <w:rPr>
          <w:rFonts w:ascii="Arial" w:eastAsia="宋体" w:hAnsi="Arial" w:cs="Arial"/>
          <w:color w:val="2B2B2B"/>
          <w:kern w:val="0"/>
          <w:sz w:val="32"/>
          <w:szCs w:val="32"/>
        </w:rPr>
        <w:t>个</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标记</w:t>
      </w:r>
      <w:r w:rsidRPr="00C1386C">
        <w:rPr>
          <w:rFonts w:ascii="Arial" w:eastAsia="宋体" w:hAnsi="Arial" w:cs="Arial"/>
          <w:color w:val="2B2B2B"/>
          <w:kern w:val="0"/>
          <w:sz w:val="32"/>
          <w:szCs w:val="32"/>
        </w:rPr>
        <w:t>(VanRaden</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2009;Cole</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2009)</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无疑与在高产奶牛上观察到的更高生产效率相关。然而很可能变异的少量差别存在于许多的位点，而不是捕捉动物中间生产效率大部分变异的少数位点。</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lastRenderedPageBreak/>
        <w:t xml:space="preserve">　　每个基因编码构成特异蛋白质的氨基酸特殊序列。</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可以产生蛋白质顺序上的不同氨基酸，而且这可能影响到蛋白质的生物学功能。在这一时间节点上，鉴别与奶牛生产效率</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饲料效率</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功能性差别相应的特殊</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，仅有有限的成功，但是该领域应该具有今后使人振奋的应用价值。</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有三个基因组学开发的领域，已经影响着我们有关对营养、饲料效率和奶产量生物学的理解。这些是</w:t>
      </w:r>
      <w:r w:rsidRPr="00C1386C">
        <w:rPr>
          <w:rFonts w:ascii="Arial" w:eastAsia="宋体" w:hAnsi="Arial" w:cs="Arial"/>
          <w:color w:val="2B2B2B"/>
          <w:kern w:val="0"/>
          <w:sz w:val="32"/>
          <w:szCs w:val="32"/>
        </w:rPr>
        <w:t>(1)</w:t>
      </w:r>
      <w:r w:rsidRPr="00C1386C">
        <w:rPr>
          <w:rFonts w:ascii="Arial" w:eastAsia="宋体" w:hAnsi="Arial" w:cs="Arial"/>
          <w:color w:val="2B2B2B"/>
          <w:kern w:val="0"/>
          <w:sz w:val="32"/>
          <w:szCs w:val="32"/>
        </w:rPr>
        <w:t>重组</w:t>
      </w:r>
      <w:r w:rsidRPr="00C1386C">
        <w:rPr>
          <w:rFonts w:ascii="Arial" w:eastAsia="宋体" w:hAnsi="Arial" w:cs="Arial"/>
          <w:color w:val="2B2B2B"/>
          <w:kern w:val="0"/>
          <w:sz w:val="32"/>
          <w:szCs w:val="32"/>
        </w:rPr>
        <w:t>DNA</w:t>
      </w:r>
      <w:r w:rsidRPr="00C1386C">
        <w:rPr>
          <w:rFonts w:ascii="Arial" w:eastAsia="宋体" w:hAnsi="Arial" w:cs="Arial"/>
          <w:color w:val="2B2B2B"/>
          <w:kern w:val="0"/>
          <w:sz w:val="32"/>
          <w:szCs w:val="32"/>
        </w:rPr>
        <w:t>技术在生产牛生长激素中的应用</w:t>
      </w:r>
      <w:r w:rsidRPr="00C1386C">
        <w:rPr>
          <w:rFonts w:ascii="Arial" w:eastAsia="宋体" w:hAnsi="Arial" w:cs="Arial"/>
          <w:color w:val="2B2B2B"/>
          <w:kern w:val="0"/>
          <w:sz w:val="32"/>
          <w:szCs w:val="32"/>
        </w:rPr>
        <w:t>;(2)</w:t>
      </w:r>
      <w:r w:rsidRPr="00C1386C">
        <w:rPr>
          <w:rFonts w:ascii="Arial" w:eastAsia="宋体" w:hAnsi="Arial" w:cs="Arial"/>
          <w:color w:val="2B2B2B"/>
          <w:kern w:val="0"/>
          <w:sz w:val="32"/>
          <w:szCs w:val="32"/>
        </w:rPr>
        <w:t>利用剩料摄入量</w:t>
      </w:r>
      <w:r w:rsidRPr="00C1386C">
        <w:rPr>
          <w:rFonts w:ascii="Arial" w:eastAsia="宋体" w:hAnsi="Arial" w:cs="Arial"/>
          <w:color w:val="2B2B2B"/>
          <w:kern w:val="0"/>
          <w:sz w:val="32"/>
          <w:szCs w:val="32"/>
        </w:rPr>
        <w:t>(residual feed intake)</w:t>
      </w:r>
      <w:r w:rsidRPr="00C1386C">
        <w:rPr>
          <w:rFonts w:ascii="Arial" w:eastAsia="宋体" w:hAnsi="Arial" w:cs="Arial"/>
          <w:color w:val="2B2B2B"/>
          <w:kern w:val="0"/>
          <w:sz w:val="32"/>
          <w:szCs w:val="32"/>
        </w:rPr>
        <w:t>鉴别饲料效率较好遗传的母牛</w:t>
      </w:r>
      <w:r w:rsidRPr="00C1386C">
        <w:rPr>
          <w:rFonts w:ascii="Arial" w:eastAsia="宋体" w:hAnsi="Arial" w:cs="Arial"/>
          <w:color w:val="2B2B2B"/>
          <w:kern w:val="0"/>
          <w:sz w:val="32"/>
          <w:szCs w:val="32"/>
        </w:rPr>
        <w:t>;(3)</w:t>
      </w:r>
      <w:r w:rsidRPr="00C1386C">
        <w:rPr>
          <w:rFonts w:ascii="Arial" w:eastAsia="宋体" w:hAnsi="Arial" w:cs="Arial"/>
          <w:color w:val="2B2B2B"/>
          <w:kern w:val="0"/>
          <w:sz w:val="32"/>
          <w:szCs w:val="32"/>
        </w:rPr>
        <w:t>应用营养基因组技术</w:t>
      </w:r>
      <w:r w:rsidRPr="00C1386C">
        <w:rPr>
          <w:rFonts w:ascii="Arial" w:eastAsia="宋体" w:hAnsi="Arial" w:cs="Arial"/>
          <w:color w:val="2B2B2B"/>
          <w:kern w:val="0"/>
          <w:sz w:val="32"/>
          <w:szCs w:val="32"/>
        </w:rPr>
        <w:t>(nutrigenomics)</w:t>
      </w:r>
      <w:r w:rsidRPr="00C1386C">
        <w:rPr>
          <w:rFonts w:ascii="Arial" w:eastAsia="宋体" w:hAnsi="Arial" w:cs="Arial"/>
          <w:color w:val="2B2B2B"/>
          <w:kern w:val="0"/>
          <w:sz w:val="32"/>
          <w:szCs w:val="32"/>
        </w:rPr>
        <w:t>了解和识别乳脂合成的疑难问题。生物技术特别是重组</w:t>
      </w:r>
      <w:r w:rsidRPr="00C1386C">
        <w:rPr>
          <w:rFonts w:ascii="Arial" w:eastAsia="宋体" w:hAnsi="Arial" w:cs="Arial"/>
          <w:color w:val="2B2B2B"/>
          <w:kern w:val="0"/>
          <w:sz w:val="32"/>
          <w:szCs w:val="32"/>
        </w:rPr>
        <w:t>DNA</w:t>
      </w:r>
      <w:r w:rsidRPr="00C1386C">
        <w:rPr>
          <w:rFonts w:ascii="Arial" w:eastAsia="宋体" w:hAnsi="Arial" w:cs="Arial"/>
          <w:color w:val="2B2B2B"/>
          <w:kern w:val="0"/>
          <w:sz w:val="32"/>
          <w:szCs w:val="32"/>
        </w:rPr>
        <w:t>技术的发现，是开发和商业化应用重组牛生长激素</w:t>
      </w:r>
      <w:r w:rsidRPr="00C1386C">
        <w:rPr>
          <w:rFonts w:ascii="Arial" w:eastAsia="宋体" w:hAnsi="Arial" w:cs="Arial"/>
          <w:color w:val="2B2B2B"/>
          <w:kern w:val="0"/>
          <w:sz w:val="32"/>
          <w:szCs w:val="32"/>
        </w:rPr>
        <w:t>(rbST)</w:t>
      </w:r>
      <w:r w:rsidRPr="00C1386C">
        <w:rPr>
          <w:rFonts w:ascii="Arial" w:eastAsia="宋体" w:hAnsi="Arial" w:cs="Arial"/>
          <w:color w:val="2B2B2B"/>
          <w:kern w:val="0"/>
          <w:sz w:val="32"/>
          <w:szCs w:val="32"/>
        </w:rPr>
        <w:t>作为奶牛生产者管理手段的关键。到目前，已有</w:t>
      </w:r>
      <w:r w:rsidRPr="00C1386C">
        <w:rPr>
          <w:rFonts w:ascii="Arial" w:eastAsia="宋体" w:hAnsi="Arial" w:cs="Arial"/>
          <w:color w:val="2B2B2B"/>
          <w:kern w:val="0"/>
          <w:sz w:val="32"/>
          <w:szCs w:val="32"/>
        </w:rPr>
        <w:t>350</w:t>
      </w:r>
      <w:r w:rsidRPr="00C1386C">
        <w:rPr>
          <w:rFonts w:ascii="Arial" w:eastAsia="宋体" w:hAnsi="Arial" w:cs="Arial"/>
          <w:color w:val="2B2B2B"/>
          <w:kern w:val="0"/>
          <w:sz w:val="32"/>
          <w:szCs w:val="32"/>
        </w:rPr>
        <w:t>万头美国的母牛给予</w:t>
      </w:r>
      <w:r w:rsidRPr="00C1386C">
        <w:rPr>
          <w:rFonts w:ascii="Arial" w:eastAsia="宋体" w:hAnsi="Arial" w:cs="Arial"/>
          <w:color w:val="2B2B2B"/>
          <w:kern w:val="0"/>
          <w:sz w:val="32"/>
          <w:szCs w:val="32"/>
        </w:rPr>
        <w:t>rbST</w:t>
      </w:r>
      <w:r w:rsidRPr="00C1386C">
        <w:rPr>
          <w:rFonts w:ascii="Arial" w:eastAsia="宋体" w:hAnsi="Arial" w:cs="Arial"/>
          <w:color w:val="2B2B2B"/>
          <w:kern w:val="0"/>
          <w:sz w:val="32"/>
          <w:szCs w:val="32"/>
        </w:rPr>
        <w:t>的补充达商业应用</w:t>
      </w:r>
      <w:r w:rsidRPr="00C1386C">
        <w:rPr>
          <w:rFonts w:ascii="Arial" w:eastAsia="宋体" w:hAnsi="Arial" w:cs="Arial"/>
          <w:color w:val="2B2B2B"/>
          <w:kern w:val="0"/>
          <w:sz w:val="32"/>
          <w:szCs w:val="32"/>
        </w:rPr>
        <w:t>19</w:t>
      </w:r>
      <w:r w:rsidRPr="00C1386C">
        <w:rPr>
          <w:rFonts w:ascii="Arial" w:eastAsia="宋体" w:hAnsi="Arial" w:cs="Arial"/>
          <w:color w:val="2B2B2B"/>
          <w:kern w:val="0"/>
          <w:sz w:val="32"/>
          <w:szCs w:val="32"/>
        </w:rPr>
        <w:t>年之久。</w:t>
      </w:r>
      <w:r w:rsidRPr="00C1386C">
        <w:rPr>
          <w:rFonts w:ascii="Arial" w:eastAsia="宋体" w:hAnsi="Arial" w:cs="Arial"/>
          <w:color w:val="2B2B2B"/>
          <w:kern w:val="0"/>
          <w:sz w:val="32"/>
          <w:szCs w:val="32"/>
        </w:rPr>
        <w:t>rbST</w:t>
      </w:r>
      <w:r w:rsidRPr="00C1386C">
        <w:rPr>
          <w:rFonts w:ascii="Arial" w:eastAsia="宋体" w:hAnsi="Arial" w:cs="Arial"/>
          <w:color w:val="2B2B2B"/>
          <w:kern w:val="0"/>
          <w:sz w:val="32"/>
          <w:szCs w:val="32"/>
        </w:rPr>
        <w:t>是一种生理过程稳定控制，极大地影响着营养分配，导致奶产量增加</w:t>
      </w:r>
      <w:r w:rsidRPr="00C1386C">
        <w:rPr>
          <w:rFonts w:ascii="Arial" w:eastAsia="宋体" w:hAnsi="Arial" w:cs="Arial"/>
          <w:color w:val="2B2B2B"/>
          <w:kern w:val="0"/>
          <w:sz w:val="32"/>
          <w:szCs w:val="32"/>
        </w:rPr>
        <w:t>4</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5</w:t>
      </w:r>
      <w:r w:rsidRPr="00C1386C">
        <w:rPr>
          <w:rFonts w:ascii="Arial" w:eastAsia="宋体" w:hAnsi="Arial" w:cs="Arial"/>
          <w:color w:val="2B2B2B"/>
          <w:kern w:val="0"/>
          <w:sz w:val="32"/>
          <w:szCs w:val="32"/>
        </w:rPr>
        <w:t>千克</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日。由</w:t>
      </w:r>
      <w:r w:rsidRPr="00C1386C">
        <w:rPr>
          <w:rFonts w:ascii="Arial" w:eastAsia="宋体" w:hAnsi="Arial" w:cs="Arial"/>
          <w:color w:val="2B2B2B"/>
          <w:kern w:val="0"/>
          <w:sz w:val="32"/>
          <w:szCs w:val="32"/>
        </w:rPr>
        <w:t>rbST</w:t>
      </w:r>
      <w:r w:rsidRPr="00C1386C">
        <w:rPr>
          <w:rFonts w:ascii="Arial" w:eastAsia="宋体" w:hAnsi="Arial" w:cs="Arial"/>
          <w:color w:val="2B2B2B"/>
          <w:kern w:val="0"/>
          <w:sz w:val="32"/>
          <w:szCs w:val="32"/>
        </w:rPr>
        <w:t>合理安排代谢并提高奶牛生产的饲料效率和降低碳足迹的机制，已在别处有所综述</w:t>
      </w:r>
      <w:r w:rsidRPr="00C1386C">
        <w:rPr>
          <w:rFonts w:ascii="Arial" w:eastAsia="宋体" w:hAnsi="Arial" w:cs="Arial"/>
          <w:color w:val="2B2B2B"/>
          <w:kern w:val="0"/>
          <w:sz w:val="32"/>
          <w:szCs w:val="32"/>
        </w:rPr>
        <w:t>(Bauman,1999;Capper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2013)</w:t>
      </w:r>
      <w:r w:rsidRPr="00C1386C">
        <w:rPr>
          <w:rFonts w:ascii="Arial" w:eastAsia="宋体" w:hAnsi="Arial" w:cs="Arial"/>
          <w:color w:val="2B2B2B"/>
          <w:kern w:val="0"/>
          <w:sz w:val="32"/>
          <w:szCs w:val="32"/>
        </w:rPr>
        <w:t>，因而不再进一步讨论。其他两个领域代表了应用基因组学的较近期发展，将在以下的章节中简要讨论。</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w:t>
      </w:r>
      <w:r w:rsidRPr="00C1386C">
        <w:rPr>
          <w:rFonts w:ascii="Arial" w:eastAsia="宋体" w:hAnsi="Arial" w:cs="Arial"/>
          <w:b/>
          <w:bCs/>
          <w:color w:val="2B2B2B"/>
          <w:kern w:val="0"/>
          <w:sz w:val="32"/>
          <w:szCs w:val="32"/>
        </w:rPr>
        <w:t>剩料摄入量</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lastRenderedPageBreak/>
        <w:t xml:space="preserve">　　饲料效率是以几种不同的方式定义和测定的，其中之一是剩余饲料或剩料摄入量</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，由</w:t>
      </w:r>
      <w:r w:rsidRPr="00C1386C">
        <w:rPr>
          <w:rFonts w:ascii="Arial" w:eastAsia="宋体" w:hAnsi="Arial" w:cs="Arial"/>
          <w:color w:val="2B2B2B"/>
          <w:kern w:val="0"/>
          <w:sz w:val="32"/>
          <w:szCs w:val="32"/>
        </w:rPr>
        <w:t>Koch</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(1963)</w:t>
      </w:r>
      <w:r w:rsidRPr="00C1386C">
        <w:rPr>
          <w:rFonts w:ascii="Arial" w:eastAsia="宋体" w:hAnsi="Arial" w:cs="Arial"/>
          <w:color w:val="2B2B2B"/>
          <w:kern w:val="0"/>
          <w:sz w:val="32"/>
          <w:szCs w:val="32"/>
        </w:rPr>
        <w:t>首先提议作为生长牛饲料效率的一种测定。在肉牛中，引用或参照</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的优点是，它用于估测饲料采食量生产性状是表型独立的</w:t>
      </w:r>
      <w:r w:rsidRPr="00C1386C">
        <w:rPr>
          <w:rFonts w:ascii="Arial" w:eastAsia="宋体" w:hAnsi="Arial" w:cs="Arial"/>
          <w:color w:val="2B2B2B"/>
          <w:kern w:val="0"/>
          <w:sz w:val="32"/>
          <w:szCs w:val="32"/>
        </w:rPr>
        <w:t>(Herd</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2009;Berry</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w:t>
      </w:r>
      <w:r w:rsidRPr="00C1386C">
        <w:rPr>
          <w:rFonts w:ascii="Arial" w:eastAsia="宋体" w:hAnsi="Arial" w:cs="Arial"/>
          <w:color w:val="2B2B2B"/>
          <w:kern w:val="0"/>
          <w:sz w:val="32"/>
          <w:szCs w:val="32"/>
        </w:rPr>
        <w:t>。生长牛的</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，是以动物实际饲料采食量和它的预期饲料采食量之间的差数计算的，它由干物质采食量对平均体重和生长率的回归所决定</w:t>
      </w:r>
      <w:r w:rsidRPr="00C1386C">
        <w:rPr>
          <w:rFonts w:ascii="Arial" w:eastAsia="宋体" w:hAnsi="Arial" w:cs="Arial"/>
          <w:color w:val="2B2B2B"/>
          <w:kern w:val="0"/>
          <w:sz w:val="32"/>
          <w:szCs w:val="32"/>
        </w:rPr>
        <w:t>(Williams</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2011)</w:t>
      </w:r>
      <w:r w:rsidRPr="00C1386C">
        <w:rPr>
          <w:rFonts w:ascii="Arial" w:eastAsia="宋体" w:hAnsi="Arial" w:cs="Arial"/>
          <w:color w:val="2B2B2B"/>
          <w:kern w:val="0"/>
          <w:sz w:val="32"/>
          <w:szCs w:val="32"/>
        </w:rPr>
        <w:t>。近期有数个研究小组为了评估泌乳母牛的饲料效率而估测了</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值</w:t>
      </w:r>
      <w:r w:rsidRPr="00C1386C">
        <w:rPr>
          <w:rFonts w:ascii="Arial" w:eastAsia="宋体" w:hAnsi="Arial" w:cs="Arial"/>
          <w:color w:val="2B2B2B"/>
          <w:kern w:val="0"/>
          <w:sz w:val="32"/>
          <w:szCs w:val="32"/>
        </w:rPr>
        <w:t>(Coleman</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2010;Connor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2012;VandeHaar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w:t>
      </w:r>
      <w:r w:rsidRPr="00C1386C">
        <w:rPr>
          <w:rFonts w:ascii="Arial" w:eastAsia="宋体" w:hAnsi="Arial" w:cs="Arial"/>
          <w:color w:val="2B2B2B"/>
          <w:kern w:val="0"/>
          <w:sz w:val="32"/>
          <w:szCs w:val="32"/>
        </w:rPr>
        <w:t>。泌乳母牛的预期饲料采食量虽有变化，但一般包含在胎次、体型大小、体重和体况评分变化以及奶产量和奶成分的调整回归之内。</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一群泌乳早期的荷斯坦母牛，其</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的示例见于图</w:t>
      </w:r>
      <w:r w:rsidRPr="00C1386C">
        <w:rPr>
          <w:rFonts w:ascii="Arial" w:eastAsia="宋体" w:hAnsi="Arial" w:cs="Arial"/>
          <w:color w:val="2B2B2B"/>
          <w:kern w:val="0"/>
          <w:sz w:val="32"/>
          <w:szCs w:val="32"/>
        </w:rPr>
        <w:t>2</w:t>
      </w:r>
      <w:r w:rsidRPr="00C1386C">
        <w:rPr>
          <w:rFonts w:ascii="Arial" w:eastAsia="宋体" w:hAnsi="Arial" w:cs="Arial"/>
          <w:color w:val="2B2B2B"/>
          <w:kern w:val="0"/>
          <w:sz w:val="32"/>
          <w:szCs w:val="32"/>
        </w:rPr>
        <w:t>，处于联线以下的母牛具有较高的饲料效率，因为她们的实际饲料采食量少于来自回归调整的预期饲料采食量。</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的潜在优点，是鉴别奶牛生来就有高饲料效率可能性，但不显示经常与高产相关的健康风险或福利的负面影响</w:t>
      </w:r>
      <w:r w:rsidRPr="00C1386C">
        <w:rPr>
          <w:rFonts w:ascii="Arial" w:eastAsia="宋体" w:hAnsi="Arial" w:cs="Arial"/>
          <w:color w:val="2B2B2B"/>
          <w:kern w:val="0"/>
          <w:sz w:val="32"/>
          <w:szCs w:val="32"/>
        </w:rPr>
        <w:t>(Connor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w:t>
      </w:r>
      <w:r w:rsidRPr="00C1386C">
        <w:rPr>
          <w:rFonts w:ascii="Arial" w:eastAsia="宋体" w:hAnsi="Arial" w:cs="Arial"/>
          <w:color w:val="2B2B2B"/>
          <w:kern w:val="0"/>
          <w:sz w:val="32"/>
          <w:szCs w:val="32"/>
        </w:rPr>
        <w:t>。因此，</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可以成为鉴别更有效率动物的一个方法，并可推导出选择方案应用中</w:t>
      </w:r>
      <w:r w:rsidRPr="00C1386C">
        <w:rPr>
          <w:rFonts w:ascii="Arial" w:eastAsia="宋体" w:hAnsi="Arial" w:cs="Arial"/>
          <w:color w:val="2B2B2B"/>
          <w:kern w:val="0"/>
          <w:sz w:val="32"/>
          <w:szCs w:val="32"/>
        </w:rPr>
        <w:t>SNP</w:t>
      </w:r>
      <w:r w:rsidRPr="00C1386C">
        <w:rPr>
          <w:rFonts w:ascii="Arial" w:eastAsia="宋体" w:hAnsi="Arial" w:cs="Arial"/>
          <w:color w:val="2B2B2B"/>
          <w:kern w:val="0"/>
          <w:sz w:val="32"/>
          <w:szCs w:val="32"/>
        </w:rPr>
        <w:t>和</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之间的相关。然而在有关乳用和肉用牛饲料效率的遗传综述中，</w:t>
      </w:r>
      <w:r w:rsidRPr="00C1386C">
        <w:rPr>
          <w:rFonts w:ascii="Arial" w:eastAsia="宋体" w:hAnsi="Arial" w:cs="Arial"/>
          <w:color w:val="2B2B2B"/>
          <w:kern w:val="0"/>
          <w:sz w:val="32"/>
          <w:szCs w:val="32"/>
        </w:rPr>
        <w:t>Berry</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(2013)</w:t>
      </w:r>
      <w:r w:rsidRPr="00C1386C">
        <w:rPr>
          <w:rFonts w:ascii="Arial" w:eastAsia="宋体" w:hAnsi="Arial" w:cs="Arial"/>
          <w:color w:val="2B2B2B"/>
          <w:kern w:val="0"/>
          <w:sz w:val="32"/>
          <w:szCs w:val="32"/>
        </w:rPr>
        <w:t>告诫，假设不可解释的采食量</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代表了真正的饲料效率则是一种错误的概念</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他们与</w:t>
      </w:r>
      <w:r w:rsidRPr="00C1386C">
        <w:rPr>
          <w:rFonts w:ascii="Arial" w:eastAsia="宋体" w:hAnsi="Arial" w:cs="Arial"/>
          <w:color w:val="2B2B2B"/>
          <w:kern w:val="0"/>
          <w:sz w:val="32"/>
          <w:szCs w:val="32"/>
        </w:rPr>
        <w:t>Robinson</w:t>
      </w:r>
      <w:r w:rsidRPr="00C1386C">
        <w:rPr>
          <w:rFonts w:ascii="Arial" w:eastAsia="宋体" w:hAnsi="Arial" w:cs="Arial"/>
          <w:color w:val="2B2B2B"/>
          <w:kern w:val="0"/>
          <w:sz w:val="32"/>
          <w:szCs w:val="32"/>
        </w:rPr>
        <w:t>合作并指出，剩余的组</w:t>
      </w:r>
      <w:r w:rsidRPr="00C1386C">
        <w:rPr>
          <w:rFonts w:ascii="Arial" w:eastAsia="宋体" w:hAnsi="Arial" w:cs="Arial"/>
          <w:color w:val="2B2B2B"/>
          <w:kern w:val="0"/>
          <w:sz w:val="32"/>
          <w:szCs w:val="32"/>
        </w:rPr>
        <w:lastRenderedPageBreak/>
        <w:t>分有一部分可能是由于随机干扰的原因，如测定和预测的差错，或者由于不准确的记录，饲料损耗以及各回归计算的回归系数的偏差等。</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如前所定义的，奶牛的生产力或生产效率是以每单位资源投入的奶量计算的，所以它也代表了饲料效率的一种测定。早先有关</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生命周期</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的讨论和生产效率变异的来源，如何与</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值描述的变异联系起来</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的计算指定为通过有关于个体动物在奶产量、体重和体况差异的调整去消除营养分配的动物差异的。因此，营养分配的动物差异，如在前述章节鉴别的领域，不再是</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所评定的一个部分。然而</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包括了消化率和营养吸收、维持需要，以及用作乳合成营养利用的部分效率。事实上，在按</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的选择中，鉴别为有最佳饲料效率</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由较低</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所反映的</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的母牛，可能处在奶产量的任何水平。因此，达到高产结果和饲料效率进展中的</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维持稀释</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的饲料效率的深度进展不是</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的组成部分。</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对泌乳母牛的应用是一种近期的概念，因而尚未有足够的数据去评判这一方法。然而不用</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去捕捉母牛在奶产量和维持稀释的差异，则受到了一种重大限制。如前所讨论的，营养分配代表了生产效率历史性进展中的重要来源，也是目前顶级牛群和遗传优秀母牛中变异的重要来源</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表一</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。一个另行的关注是评定</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重复的程度</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用于回归调整的变数都是与某种程度的差错相关，因而指明奶牛中</w:t>
      </w:r>
      <w:r w:rsidRPr="00C1386C">
        <w:rPr>
          <w:rFonts w:ascii="Arial" w:eastAsia="宋体" w:hAnsi="Arial" w:cs="Arial"/>
          <w:color w:val="2B2B2B"/>
          <w:kern w:val="0"/>
          <w:sz w:val="32"/>
          <w:szCs w:val="32"/>
        </w:rPr>
        <w:t>RFI</w:t>
      </w:r>
      <w:r w:rsidRPr="00C1386C">
        <w:rPr>
          <w:rFonts w:ascii="Arial" w:eastAsia="宋体" w:hAnsi="Arial" w:cs="Arial"/>
          <w:color w:val="2B2B2B"/>
          <w:kern w:val="0"/>
          <w:sz w:val="32"/>
          <w:szCs w:val="32"/>
        </w:rPr>
        <w:t>的排名次序在成功的泌</w:t>
      </w:r>
      <w:r w:rsidRPr="00C1386C">
        <w:rPr>
          <w:rFonts w:ascii="Arial" w:eastAsia="宋体" w:hAnsi="Arial" w:cs="Arial"/>
          <w:color w:val="2B2B2B"/>
          <w:kern w:val="0"/>
          <w:sz w:val="32"/>
          <w:szCs w:val="32"/>
        </w:rPr>
        <w:lastRenderedPageBreak/>
        <w:t>乳中可重复性，将对在选择体系的潜在应用中提供有力的支持。</w:t>
      </w:r>
    </w:p>
    <w:p w:rsidR="00C1386C" w:rsidRPr="00C1386C" w:rsidRDefault="00C1386C" w:rsidP="00C1386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C1386C">
        <w:rPr>
          <w:rFonts w:ascii="Arial" w:eastAsia="宋体" w:hAnsi="Arial" w:cs="Arial"/>
          <w:noProof/>
          <w:color w:val="2B2B2B"/>
          <w:kern w:val="0"/>
          <w:sz w:val="32"/>
          <w:szCs w:val="32"/>
        </w:rPr>
        <w:drawing>
          <wp:inline distT="0" distB="0" distL="0" distR="0">
            <wp:extent cx="3238500" cy="2514600"/>
            <wp:effectExtent l="19050" t="0" r="0" b="0"/>
            <wp:docPr id="87" name="图片 87" descr="http://www.hesitan.com:80/pdres/201404/201404151455389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hesitan.com:80/pdres/201404/20140415145538955.jpg"/>
                    <pic:cNvPicPr>
                      <a:picLocks noChangeAspect="1" noChangeArrowheads="1"/>
                    </pic:cNvPicPr>
                  </pic:nvPicPr>
                  <pic:blipFill>
                    <a:blip r:embed="rId6"/>
                    <a:srcRect/>
                    <a:stretch>
                      <a:fillRect/>
                    </a:stretch>
                  </pic:blipFill>
                  <pic:spPr bwMode="auto">
                    <a:xfrm>
                      <a:off x="0" y="0"/>
                      <a:ext cx="3238500" cy="2514600"/>
                    </a:xfrm>
                    <a:prstGeom prst="rect">
                      <a:avLst/>
                    </a:prstGeom>
                    <a:noFill/>
                    <a:ln w="9525">
                      <a:noFill/>
                      <a:miter lim="800000"/>
                      <a:headEnd/>
                      <a:tailEnd/>
                    </a:ln>
                  </pic:spPr>
                </pic:pic>
              </a:graphicData>
            </a:graphic>
          </wp:inline>
        </w:drawing>
      </w:r>
    </w:p>
    <w:p w:rsidR="00C1386C" w:rsidRPr="00C1386C" w:rsidRDefault="00C1386C" w:rsidP="00C1386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C1386C">
        <w:rPr>
          <w:rFonts w:ascii="Arial" w:eastAsia="宋体" w:hAnsi="Arial" w:cs="Arial"/>
          <w:color w:val="2B2B2B"/>
          <w:kern w:val="0"/>
          <w:sz w:val="32"/>
          <w:szCs w:val="32"/>
        </w:rPr>
        <w:t>图</w:t>
      </w:r>
      <w:r w:rsidRPr="00C1386C">
        <w:rPr>
          <w:rFonts w:ascii="Arial" w:eastAsia="宋体" w:hAnsi="Arial" w:cs="Arial"/>
          <w:color w:val="2B2B2B"/>
          <w:kern w:val="0"/>
          <w:sz w:val="32"/>
          <w:szCs w:val="32"/>
        </w:rPr>
        <w:t xml:space="preserve">2 </w:t>
      </w:r>
      <w:r w:rsidRPr="00C1386C">
        <w:rPr>
          <w:rFonts w:ascii="Arial" w:eastAsia="宋体" w:hAnsi="Arial" w:cs="Arial"/>
          <w:color w:val="2B2B2B"/>
          <w:kern w:val="0"/>
          <w:sz w:val="32"/>
          <w:szCs w:val="32"/>
        </w:rPr>
        <w:t>在产犊后开始</w:t>
      </w:r>
      <w:r w:rsidRPr="00C1386C">
        <w:rPr>
          <w:rFonts w:ascii="Arial" w:eastAsia="宋体" w:hAnsi="Arial" w:cs="Arial"/>
          <w:color w:val="2B2B2B"/>
          <w:kern w:val="0"/>
          <w:sz w:val="32"/>
          <w:szCs w:val="32"/>
        </w:rPr>
        <w:t>90</w:t>
      </w:r>
      <w:r w:rsidRPr="00C1386C">
        <w:rPr>
          <w:rFonts w:ascii="Arial" w:eastAsia="宋体" w:hAnsi="Arial" w:cs="Arial"/>
          <w:color w:val="2B2B2B"/>
          <w:kern w:val="0"/>
          <w:sz w:val="32"/>
          <w:szCs w:val="32"/>
        </w:rPr>
        <w:t>天期间荷斯坦母牛</w:t>
      </w:r>
      <w:r w:rsidRPr="00C1386C">
        <w:rPr>
          <w:rFonts w:ascii="Arial" w:eastAsia="宋体" w:hAnsi="Arial" w:cs="Arial"/>
          <w:color w:val="2B2B2B"/>
          <w:kern w:val="0"/>
          <w:sz w:val="32"/>
          <w:szCs w:val="32"/>
        </w:rPr>
        <w:t>(254</w:t>
      </w:r>
      <w:r w:rsidRPr="00C1386C">
        <w:rPr>
          <w:rFonts w:ascii="Arial" w:eastAsia="宋体" w:hAnsi="Arial" w:cs="Arial"/>
          <w:color w:val="2B2B2B"/>
          <w:kern w:val="0"/>
          <w:sz w:val="32"/>
          <w:szCs w:val="32"/>
        </w:rPr>
        <w:t>个泌乳期</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的预期能量摄取量和实际摄取量。实线代表预期和实际摄取量之间等同线，线与各个数据点之间的距离是该泌乳期的剩料采食量</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取自</w:t>
      </w:r>
      <w:r w:rsidRPr="00C1386C">
        <w:rPr>
          <w:rFonts w:ascii="Arial" w:eastAsia="宋体" w:hAnsi="Arial" w:cs="Arial"/>
          <w:color w:val="2B2B2B"/>
          <w:kern w:val="0"/>
          <w:sz w:val="32"/>
          <w:szCs w:val="32"/>
        </w:rPr>
        <w:t>Connor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2012)</w:t>
      </w:r>
      <w:r w:rsidRPr="00C1386C">
        <w:rPr>
          <w:rFonts w:ascii="Arial" w:eastAsia="宋体" w:hAnsi="Arial" w:cs="Arial"/>
          <w:color w:val="2B2B2B"/>
          <w:kern w:val="0"/>
          <w:sz w:val="32"/>
          <w:szCs w:val="32"/>
        </w:rPr>
        <w:t>。</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w:t>
      </w:r>
      <w:r w:rsidRPr="00C1386C">
        <w:rPr>
          <w:rFonts w:ascii="Arial" w:eastAsia="宋体" w:hAnsi="Arial" w:cs="Arial"/>
          <w:b/>
          <w:bCs/>
          <w:color w:val="2B2B2B"/>
          <w:kern w:val="0"/>
          <w:sz w:val="32"/>
          <w:szCs w:val="32"/>
        </w:rPr>
        <w:t xml:space="preserve">　营养基因组技术</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营养基因组技术是有关饲料组分通过改变基因表达、胚胎效应、蛋白质或代谢物而对生理过程产生影响的伞形术语</w:t>
      </w:r>
      <w:r w:rsidRPr="00C1386C">
        <w:rPr>
          <w:rFonts w:ascii="Arial" w:eastAsia="宋体" w:hAnsi="Arial" w:cs="Arial"/>
          <w:color w:val="2B2B2B"/>
          <w:kern w:val="0"/>
          <w:sz w:val="32"/>
          <w:szCs w:val="32"/>
        </w:rPr>
        <w:t>(Bauman</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2011)</w:t>
      </w:r>
      <w:r w:rsidRPr="00C1386C">
        <w:rPr>
          <w:rFonts w:ascii="Arial" w:eastAsia="宋体" w:hAnsi="Arial" w:cs="Arial"/>
          <w:color w:val="2B2B2B"/>
          <w:kern w:val="0"/>
          <w:sz w:val="32"/>
          <w:szCs w:val="32"/>
        </w:rPr>
        <w:t>。营养研究已经独特性地集注在鉴别必需营养、确定饲粮需要和开发饲喂体系而满足其需要量。因此，以往的营养研究关注设计的饲料，是为了提供滋养和使有正常的机体功能和健康维持而供应营养的数量和型式。营养基因组技术则代表了营养研究的新的广度和深度</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其成果</w:t>
      </w:r>
      <w:r w:rsidRPr="00C1386C">
        <w:rPr>
          <w:rFonts w:ascii="Arial" w:eastAsia="宋体" w:hAnsi="Arial" w:cs="Arial"/>
          <w:color w:val="2B2B2B"/>
          <w:kern w:val="0"/>
          <w:sz w:val="32"/>
          <w:szCs w:val="32"/>
        </w:rPr>
        <w:lastRenderedPageBreak/>
        <w:t>提供了清晰的证据，即除了本身的营养作用以外，营养也能够调节基因表达，进而影响代谢路径和自身稳定的控制，包括饲料和环境之间的互作。营养基因组技术在人类已有强而有力的研究，并假设人类基因型的多元化，可以为保持健康和预防慢性疾病提供以个体为基础而优化食谱的差异</w:t>
      </w:r>
      <w:r w:rsidRPr="00C1386C">
        <w:rPr>
          <w:rFonts w:ascii="Arial" w:eastAsia="宋体" w:hAnsi="Arial" w:cs="Arial"/>
          <w:color w:val="2B2B2B"/>
          <w:kern w:val="0"/>
          <w:sz w:val="32"/>
          <w:szCs w:val="32"/>
        </w:rPr>
        <w:t>(Muller</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2003)</w:t>
      </w:r>
      <w:r w:rsidRPr="00C1386C">
        <w:rPr>
          <w:rFonts w:ascii="Arial" w:eastAsia="宋体" w:hAnsi="Arial" w:cs="Arial"/>
          <w:color w:val="2B2B2B"/>
          <w:kern w:val="0"/>
          <w:sz w:val="32"/>
          <w:szCs w:val="32"/>
        </w:rPr>
        <w:t>。</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营养基因组技术最具特征性的例子，是奶牛的饲粮诱导性乳脂抑制</w:t>
      </w:r>
      <w:r w:rsidRPr="00C1386C">
        <w:rPr>
          <w:rFonts w:ascii="Arial" w:eastAsia="宋体" w:hAnsi="Arial" w:cs="Arial"/>
          <w:color w:val="2B2B2B"/>
          <w:kern w:val="0"/>
          <w:sz w:val="32"/>
          <w:szCs w:val="32"/>
        </w:rPr>
        <w:t>(MFD)(Bauman</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2011)</w:t>
      </w:r>
      <w:r w:rsidRPr="00C1386C">
        <w:rPr>
          <w:rFonts w:ascii="Arial" w:eastAsia="宋体" w:hAnsi="Arial" w:cs="Arial"/>
          <w:color w:val="2B2B2B"/>
          <w:kern w:val="0"/>
          <w:sz w:val="32"/>
          <w:szCs w:val="32"/>
        </w:rPr>
        <w:t>。虽然饲粮诱导性</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对商品奶牛场仍然是一个问题，但在本文中它用以说明吸收的营养可以影响基因表述并改变代谢过程。饲粮诱导性</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的问题困惑了生产者、咨询者和科学工作者达半个多世纪，而且许多的理论和实践都有其目标并发现是不合理的</w:t>
      </w:r>
      <w:r w:rsidRPr="00C1386C">
        <w:rPr>
          <w:rFonts w:ascii="Arial" w:eastAsia="宋体" w:hAnsi="Arial" w:cs="Arial"/>
          <w:color w:val="2B2B2B"/>
          <w:kern w:val="0"/>
          <w:sz w:val="32"/>
          <w:szCs w:val="32"/>
        </w:rPr>
        <w:t>(Harvatine</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2009)</w:t>
      </w:r>
      <w:r w:rsidRPr="00C1386C">
        <w:rPr>
          <w:rFonts w:ascii="Arial" w:eastAsia="宋体" w:hAnsi="Arial" w:cs="Arial"/>
          <w:color w:val="2B2B2B"/>
          <w:kern w:val="0"/>
          <w:sz w:val="32"/>
          <w:szCs w:val="32"/>
        </w:rPr>
        <w:t>。了解</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的关键发展，是认识到它涉及瘤胃发酵和乳腺脂肪酸</w:t>
      </w:r>
      <w:r w:rsidRPr="00C1386C">
        <w:rPr>
          <w:rFonts w:ascii="Arial" w:eastAsia="宋体" w:hAnsi="Arial" w:cs="Arial"/>
          <w:color w:val="2B2B2B"/>
          <w:kern w:val="0"/>
          <w:sz w:val="32"/>
          <w:szCs w:val="32"/>
        </w:rPr>
        <w:t>(FA)</w:t>
      </w:r>
      <w:r w:rsidRPr="00C1386C">
        <w:rPr>
          <w:rFonts w:ascii="Arial" w:eastAsia="宋体" w:hAnsi="Arial" w:cs="Arial"/>
          <w:color w:val="2B2B2B"/>
          <w:kern w:val="0"/>
          <w:sz w:val="32"/>
          <w:szCs w:val="32"/>
        </w:rPr>
        <w:t>合成之间的互作。特别是某些饲粮条件变更了饲粮中多不饱和脂肪酸生物氢化的瘤胃发酵和细菌路径。由此产生了作为生物氢化中间体的独特共轭亚油酸</w:t>
      </w:r>
      <w:r w:rsidRPr="00C1386C">
        <w:rPr>
          <w:rFonts w:ascii="Arial" w:eastAsia="宋体" w:hAnsi="Arial" w:cs="Arial"/>
          <w:color w:val="2B2B2B"/>
          <w:kern w:val="0"/>
          <w:sz w:val="32"/>
          <w:szCs w:val="32"/>
        </w:rPr>
        <w:t>(CLA)</w:t>
      </w:r>
      <w:r w:rsidRPr="00C1386C">
        <w:rPr>
          <w:rFonts w:ascii="Arial" w:eastAsia="宋体" w:hAnsi="Arial" w:cs="Arial"/>
          <w:color w:val="2B2B2B"/>
          <w:kern w:val="0"/>
          <w:sz w:val="32"/>
          <w:szCs w:val="32"/>
        </w:rPr>
        <w:t>，其中有一些是乳脂合成的生物活性脂肪酸，即反</w:t>
      </w:r>
      <w:r w:rsidRPr="00C1386C">
        <w:rPr>
          <w:rFonts w:ascii="Arial" w:eastAsia="宋体" w:hAnsi="Arial" w:cs="Arial"/>
          <w:color w:val="2B2B2B"/>
          <w:kern w:val="0"/>
          <w:sz w:val="32"/>
          <w:szCs w:val="32"/>
        </w:rPr>
        <w:t>10</w:t>
      </w:r>
      <w:r w:rsidRPr="00C1386C">
        <w:rPr>
          <w:rFonts w:ascii="Arial" w:eastAsia="宋体" w:hAnsi="Arial" w:cs="Arial"/>
          <w:color w:val="2B2B2B"/>
          <w:kern w:val="0"/>
          <w:sz w:val="32"/>
          <w:szCs w:val="32"/>
        </w:rPr>
        <w:t>正</w:t>
      </w:r>
      <w:r w:rsidRPr="00C1386C">
        <w:rPr>
          <w:rFonts w:ascii="Arial" w:eastAsia="宋体" w:hAnsi="Arial" w:cs="Arial"/>
          <w:color w:val="2B2B2B"/>
          <w:kern w:val="0"/>
          <w:sz w:val="32"/>
          <w:szCs w:val="32"/>
        </w:rPr>
        <w:t>12</w:t>
      </w:r>
      <w:r w:rsidRPr="00C1386C">
        <w:rPr>
          <w:rFonts w:ascii="Arial" w:eastAsia="宋体" w:hAnsi="Arial" w:cs="Arial"/>
          <w:color w:val="2B2B2B"/>
          <w:kern w:val="0"/>
          <w:sz w:val="32"/>
          <w:szCs w:val="32"/>
        </w:rPr>
        <w:t>的</w:t>
      </w:r>
      <w:r w:rsidRPr="00C1386C">
        <w:rPr>
          <w:rFonts w:ascii="Arial" w:eastAsia="宋体" w:hAnsi="Arial" w:cs="Arial"/>
          <w:color w:val="2B2B2B"/>
          <w:kern w:val="0"/>
          <w:sz w:val="32"/>
          <w:szCs w:val="32"/>
        </w:rPr>
        <w:t>CLA</w:t>
      </w:r>
      <w:r w:rsidRPr="00C1386C">
        <w:rPr>
          <w:rFonts w:ascii="Arial" w:eastAsia="宋体" w:hAnsi="Arial" w:cs="Arial"/>
          <w:color w:val="2B2B2B"/>
          <w:kern w:val="0"/>
          <w:sz w:val="32"/>
          <w:szCs w:val="32"/>
        </w:rPr>
        <w:t>、正</w:t>
      </w:r>
      <w:r w:rsidRPr="00C1386C">
        <w:rPr>
          <w:rFonts w:ascii="Arial" w:eastAsia="宋体" w:hAnsi="Arial" w:cs="Arial"/>
          <w:color w:val="2B2B2B"/>
          <w:kern w:val="0"/>
          <w:sz w:val="32"/>
          <w:szCs w:val="32"/>
        </w:rPr>
        <w:t>10</w:t>
      </w:r>
      <w:r w:rsidRPr="00C1386C">
        <w:rPr>
          <w:rFonts w:ascii="Arial" w:eastAsia="宋体" w:hAnsi="Arial" w:cs="Arial"/>
          <w:color w:val="2B2B2B"/>
          <w:kern w:val="0"/>
          <w:sz w:val="32"/>
          <w:szCs w:val="32"/>
        </w:rPr>
        <w:t>反</w:t>
      </w:r>
      <w:r w:rsidRPr="00C1386C">
        <w:rPr>
          <w:rFonts w:ascii="Arial" w:eastAsia="宋体" w:hAnsi="Arial" w:cs="Arial"/>
          <w:color w:val="2B2B2B"/>
          <w:kern w:val="0"/>
          <w:sz w:val="32"/>
          <w:szCs w:val="32"/>
        </w:rPr>
        <w:t>12 CLA</w:t>
      </w:r>
      <w:r w:rsidRPr="00C1386C">
        <w:rPr>
          <w:rFonts w:ascii="Arial" w:eastAsia="宋体" w:hAnsi="Arial" w:cs="Arial"/>
          <w:color w:val="2B2B2B"/>
          <w:kern w:val="0"/>
          <w:sz w:val="32"/>
          <w:szCs w:val="32"/>
        </w:rPr>
        <w:t>和反</w:t>
      </w:r>
      <w:r w:rsidRPr="00C1386C">
        <w:rPr>
          <w:rFonts w:ascii="Arial" w:eastAsia="宋体" w:hAnsi="Arial" w:cs="Arial"/>
          <w:color w:val="2B2B2B"/>
          <w:kern w:val="0"/>
          <w:sz w:val="32"/>
          <w:szCs w:val="32"/>
        </w:rPr>
        <w:t>9</w:t>
      </w:r>
      <w:r w:rsidRPr="00C1386C">
        <w:rPr>
          <w:rFonts w:ascii="Arial" w:eastAsia="宋体" w:hAnsi="Arial" w:cs="Arial"/>
          <w:color w:val="2B2B2B"/>
          <w:kern w:val="0"/>
          <w:sz w:val="32"/>
          <w:szCs w:val="32"/>
        </w:rPr>
        <w:t>正</w:t>
      </w:r>
      <w:r w:rsidRPr="00C1386C">
        <w:rPr>
          <w:rFonts w:ascii="Arial" w:eastAsia="宋体" w:hAnsi="Arial" w:cs="Arial"/>
          <w:color w:val="2B2B2B"/>
          <w:kern w:val="0"/>
          <w:sz w:val="32"/>
          <w:szCs w:val="32"/>
        </w:rPr>
        <w:t>11</w:t>
      </w:r>
      <w:r w:rsidRPr="00C1386C">
        <w:rPr>
          <w:rFonts w:ascii="Arial" w:eastAsia="宋体" w:hAnsi="Arial" w:cs="Arial"/>
          <w:color w:val="2B2B2B"/>
          <w:kern w:val="0"/>
          <w:sz w:val="32"/>
          <w:szCs w:val="32"/>
        </w:rPr>
        <w:t>的</w:t>
      </w:r>
      <w:r w:rsidRPr="00C1386C">
        <w:rPr>
          <w:rFonts w:ascii="Arial" w:eastAsia="宋体" w:hAnsi="Arial" w:cs="Arial"/>
          <w:color w:val="2B2B2B"/>
          <w:kern w:val="0"/>
          <w:sz w:val="32"/>
          <w:szCs w:val="32"/>
        </w:rPr>
        <w:t>CLA</w:t>
      </w:r>
      <w:r w:rsidRPr="00C1386C">
        <w:rPr>
          <w:rFonts w:ascii="Arial" w:eastAsia="宋体" w:hAnsi="Arial" w:cs="Arial"/>
          <w:color w:val="2B2B2B"/>
          <w:kern w:val="0"/>
          <w:sz w:val="32"/>
          <w:szCs w:val="32"/>
        </w:rPr>
        <w:t>。该抑制需要在一种乳脂合成中关键酶基因表达的协同下调节。这对反</w:t>
      </w:r>
      <w:r w:rsidRPr="00C1386C">
        <w:rPr>
          <w:rFonts w:ascii="Arial" w:eastAsia="宋体" w:hAnsi="Arial" w:cs="Arial"/>
          <w:color w:val="2B2B2B"/>
          <w:kern w:val="0"/>
          <w:sz w:val="32"/>
          <w:szCs w:val="32"/>
        </w:rPr>
        <w:t>10</w:t>
      </w:r>
      <w:r w:rsidRPr="00C1386C">
        <w:rPr>
          <w:rFonts w:ascii="Arial" w:eastAsia="宋体" w:hAnsi="Arial" w:cs="Arial"/>
          <w:color w:val="2B2B2B"/>
          <w:kern w:val="0"/>
          <w:sz w:val="32"/>
          <w:szCs w:val="32"/>
        </w:rPr>
        <w:t>正</w:t>
      </w:r>
      <w:r w:rsidRPr="00C1386C">
        <w:rPr>
          <w:rFonts w:ascii="Arial" w:eastAsia="宋体" w:hAnsi="Arial" w:cs="Arial"/>
          <w:color w:val="2B2B2B"/>
          <w:kern w:val="0"/>
          <w:sz w:val="32"/>
          <w:szCs w:val="32"/>
        </w:rPr>
        <w:t>12</w:t>
      </w:r>
      <w:r w:rsidRPr="00C1386C">
        <w:rPr>
          <w:rFonts w:ascii="Arial" w:eastAsia="宋体" w:hAnsi="Arial" w:cs="Arial"/>
          <w:color w:val="2B2B2B"/>
          <w:kern w:val="0"/>
          <w:sz w:val="32"/>
          <w:szCs w:val="32"/>
        </w:rPr>
        <w:t>的共轭亚油酸已进行了最好的研究，而且细胞机制需要有</w:t>
      </w:r>
      <w:r w:rsidRPr="00C1386C">
        <w:rPr>
          <w:rFonts w:ascii="Arial" w:eastAsia="宋体" w:hAnsi="Arial" w:cs="Arial"/>
          <w:color w:val="2B2B2B"/>
          <w:kern w:val="0"/>
          <w:sz w:val="32"/>
          <w:szCs w:val="32"/>
        </w:rPr>
        <w:t>SREBPI</w:t>
      </w:r>
      <w:r w:rsidRPr="00C1386C">
        <w:rPr>
          <w:rFonts w:ascii="Arial" w:eastAsia="宋体" w:hAnsi="Arial" w:cs="Arial"/>
          <w:color w:val="2B2B2B"/>
          <w:kern w:val="0"/>
          <w:sz w:val="32"/>
          <w:szCs w:val="32"/>
        </w:rPr>
        <w:t>转录因子的参与。脂肪酸合成中关键酶的基因在其称为</w:t>
      </w:r>
      <w:r w:rsidRPr="00C1386C">
        <w:rPr>
          <w:rFonts w:ascii="Arial" w:eastAsia="宋体" w:hAnsi="Arial" w:cs="Arial"/>
          <w:color w:val="2B2B2B"/>
          <w:kern w:val="0"/>
          <w:sz w:val="32"/>
          <w:szCs w:val="32"/>
        </w:rPr>
        <w:t>SRE</w:t>
      </w:r>
      <w:r w:rsidRPr="00C1386C">
        <w:rPr>
          <w:rFonts w:ascii="Arial" w:eastAsia="宋体" w:hAnsi="Arial" w:cs="Arial"/>
          <w:color w:val="2B2B2B"/>
          <w:kern w:val="0"/>
          <w:sz w:val="32"/>
          <w:szCs w:val="32"/>
        </w:rPr>
        <w:t>要素的</w:t>
      </w:r>
      <w:r w:rsidRPr="00C1386C">
        <w:rPr>
          <w:rFonts w:ascii="Arial" w:eastAsia="宋体" w:hAnsi="Arial" w:cs="Arial"/>
          <w:color w:val="2B2B2B"/>
          <w:kern w:val="0"/>
          <w:sz w:val="32"/>
          <w:szCs w:val="32"/>
        </w:rPr>
        <w:t>DNA</w:t>
      </w:r>
      <w:r w:rsidRPr="00C1386C">
        <w:rPr>
          <w:rFonts w:ascii="Arial" w:eastAsia="宋体" w:hAnsi="Arial" w:cs="Arial"/>
          <w:color w:val="2B2B2B"/>
          <w:kern w:val="0"/>
          <w:sz w:val="32"/>
          <w:szCs w:val="32"/>
        </w:rPr>
        <w:t>密码中含有碱基序</w:t>
      </w:r>
      <w:r w:rsidRPr="00C1386C">
        <w:rPr>
          <w:rFonts w:ascii="Arial" w:eastAsia="宋体" w:hAnsi="Arial" w:cs="Arial"/>
          <w:color w:val="2B2B2B"/>
          <w:kern w:val="0"/>
          <w:sz w:val="32"/>
          <w:szCs w:val="32"/>
        </w:rPr>
        <w:lastRenderedPageBreak/>
        <w:t>列。</w:t>
      </w:r>
      <w:r w:rsidRPr="00C1386C">
        <w:rPr>
          <w:rFonts w:ascii="Arial" w:eastAsia="宋体" w:hAnsi="Arial" w:cs="Arial"/>
          <w:color w:val="2B2B2B"/>
          <w:kern w:val="0"/>
          <w:sz w:val="32"/>
          <w:szCs w:val="32"/>
        </w:rPr>
        <w:t>SRE</w:t>
      </w:r>
      <w:r w:rsidRPr="00C1386C">
        <w:rPr>
          <w:rFonts w:ascii="Arial" w:eastAsia="宋体" w:hAnsi="Arial" w:cs="Arial"/>
          <w:color w:val="2B2B2B"/>
          <w:kern w:val="0"/>
          <w:sz w:val="32"/>
          <w:szCs w:val="32"/>
        </w:rPr>
        <w:t>要素结合了</w:t>
      </w:r>
      <w:r w:rsidRPr="00C1386C">
        <w:rPr>
          <w:rFonts w:ascii="Arial" w:eastAsia="宋体" w:hAnsi="Arial" w:cs="Arial"/>
          <w:color w:val="2B2B2B"/>
          <w:kern w:val="0"/>
          <w:sz w:val="32"/>
          <w:szCs w:val="32"/>
        </w:rPr>
        <w:t>SREBPI</w:t>
      </w:r>
      <w:r w:rsidRPr="00C1386C">
        <w:rPr>
          <w:rFonts w:ascii="Arial" w:eastAsia="宋体" w:hAnsi="Arial" w:cs="Arial"/>
          <w:color w:val="2B2B2B"/>
          <w:kern w:val="0"/>
          <w:sz w:val="32"/>
          <w:szCs w:val="32"/>
        </w:rPr>
        <w:t>的活性片段，因而减少了基因表达</w:t>
      </w:r>
      <w:r w:rsidRPr="00C1386C">
        <w:rPr>
          <w:rFonts w:ascii="Arial" w:eastAsia="宋体" w:hAnsi="Arial" w:cs="Arial"/>
          <w:color w:val="2B2B2B"/>
          <w:kern w:val="0"/>
          <w:sz w:val="32"/>
          <w:szCs w:val="32"/>
        </w:rPr>
        <w:t>(Bauman</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2011)</w:t>
      </w:r>
      <w:r w:rsidRPr="00C1386C">
        <w:rPr>
          <w:rFonts w:ascii="Arial" w:eastAsia="宋体" w:hAnsi="Arial" w:cs="Arial"/>
          <w:color w:val="2B2B2B"/>
          <w:kern w:val="0"/>
          <w:sz w:val="32"/>
          <w:szCs w:val="32"/>
        </w:rPr>
        <w:t>。表</w:t>
      </w:r>
      <w:r w:rsidRPr="00C1386C">
        <w:rPr>
          <w:rFonts w:ascii="Arial" w:eastAsia="宋体" w:hAnsi="Arial" w:cs="Arial"/>
          <w:color w:val="2B2B2B"/>
          <w:kern w:val="0"/>
          <w:sz w:val="32"/>
          <w:szCs w:val="32"/>
        </w:rPr>
        <w:t>2</w:t>
      </w:r>
      <w:r w:rsidRPr="00C1386C">
        <w:rPr>
          <w:rFonts w:ascii="Arial" w:eastAsia="宋体" w:hAnsi="Arial" w:cs="Arial"/>
          <w:color w:val="2B2B2B"/>
          <w:kern w:val="0"/>
          <w:sz w:val="32"/>
          <w:szCs w:val="32"/>
        </w:rPr>
        <w:t>列出了在饲粮诱导性</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和</w:t>
      </w:r>
      <w:r w:rsidRPr="00C1386C">
        <w:rPr>
          <w:rFonts w:ascii="Arial" w:eastAsia="宋体" w:hAnsi="Arial" w:cs="Arial"/>
          <w:color w:val="2B2B2B"/>
          <w:kern w:val="0"/>
          <w:sz w:val="32"/>
          <w:szCs w:val="32"/>
        </w:rPr>
        <w:t>CLA</w:t>
      </w:r>
      <w:r w:rsidRPr="00C1386C">
        <w:rPr>
          <w:rFonts w:ascii="Arial" w:eastAsia="宋体" w:hAnsi="Arial" w:cs="Arial"/>
          <w:color w:val="2B2B2B"/>
          <w:kern w:val="0"/>
          <w:sz w:val="32"/>
          <w:szCs w:val="32"/>
        </w:rPr>
        <w:t>诱导性</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期间协同下调节的特殊脂肪生成基因，而且所有这些基因的</w:t>
      </w:r>
      <w:r w:rsidRPr="00C1386C">
        <w:rPr>
          <w:rFonts w:ascii="Arial" w:eastAsia="宋体" w:hAnsi="Arial" w:cs="Arial"/>
          <w:color w:val="2B2B2B"/>
          <w:kern w:val="0"/>
          <w:sz w:val="32"/>
          <w:szCs w:val="32"/>
        </w:rPr>
        <w:t>DNA</w:t>
      </w:r>
      <w:r w:rsidRPr="00C1386C">
        <w:rPr>
          <w:rFonts w:ascii="Arial" w:eastAsia="宋体" w:hAnsi="Arial" w:cs="Arial"/>
          <w:color w:val="2B2B2B"/>
          <w:kern w:val="0"/>
          <w:sz w:val="32"/>
          <w:szCs w:val="32"/>
        </w:rPr>
        <w:t>序列都在启动区具有</w:t>
      </w:r>
      <w:r w:rsidRPr="00C1386C">
        <w:rPr>
          <w:rFonts w:ascii="Arial" w:eastAsia="宋体" w:hAnsi="Arial" w:cs="Arial"/>
          <w:color w:val="2B2B2B"/>
          <w:kern w:val="0"/>
          <w:sz w:val="32"/>
          <w:szCs w:val="32"/>
        </w:rPr>
        <w:t>SRE</w:t>
      </w:r>
      <w:r w:rsidRPr="00C1386C">
        <w:rPr>
          <w:rFonts w:ascii="Arial" w:eastAsia="宋体" w:hAnsi="Arial" w:cs="Arial"/>
          <w:color w:val="2B2B2B"/>
          <w:kern w:val="0"/>
          <w:sz w:val="32"/>
          <w:szCs w:val="32"/>
        </w:rPr>
        <w:t>要素。</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如果发生</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，了解独特的瘤胃生物氢化中间物是如何能够调节乳脂合成的，已经应用于饲粮的配制，用以减少在商品奶牛场碰到的问题和</w:t>
      </w:r>
      <w:r w:rsidRPr="00C1386C">
        <w:rPr>
          <w:rFonts w:ascii="Arial" w:eastAsia="宋体" w:hAnsi="Arial" w:cs="Arial"/>
          <w:color w:val="2B2B2B"/>
          <w:kern w:val="0"/>
          <w:sz w:val="32"/>
          <w:szCs w:val="32"/>
        </w:rPr>
        <w:t>MFD</w:t>
      </w:r>
      <w:r w:rsidRPr="00C1386C">
        <w:rPr>
          <w:rFonts w:ascii="Arial" w:eastAsia="宋体" w:hAnsi="Arial" w:cs="Arial"/>
          <w:color w:val="2B2B2B"/>
          <w:kern w:val="0"/>
          <w:sz w:val="32"/>
          <w:szCs w:val="32"/>
        </w:rPr>
        <w:t>的问题查找。特别这一事例提供了营养和基因之间的互作潜在重要性和营养基因学的深入了解。显然，提高对特殊营养在调节基因表达和代谢中的作用的理解和认识，代表了提高奶牛生产效率有令人振奋新机遇的开发领域。</w:t>
      </w:r>
    </w:p>
    <w:p w:rsidR="00C1386C" w:rsidRPr="00C1386C" w:rsidRDefault="00C1386C" w:rsidP="00C1386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C1386C">
        <w:rPr>
          <w:rFonts w:ascii="Arial" w:eastAsia="宋体" w:hAnsi="Arial" w:cs="Arial"/>
          <w:color w:val="2B2B2B"/>
          <w:kern w:val="0"/>
          <w:sz w:val="32"/>
          <w:szCs w:val="32"/>
        </w:rPr>
        <w:t>表</w:t>
      </w:r>
      <w:r w:rsidRPr="00C1386C">
        <w:rPr>
          <w:rFonts w:ascii="Arial" w:eastAsia="宋体" w:hAnsi="Arial" w:cs="Arial"/>
          <w:color w:val="2B2B2B"/>
          <w:kern w:val="0"/>
          <w:sz w:val="32"/>
          <w:szCs w:val="32"/>
        </w:rPr>
        <w:t>2 SREBPI</w:t>
      </w:r>
      <w:r w:rsidRPr="00C1386C">
        <w:rPr>
          <w:rFonts w:ascii="Arial" w:eastAsia="宋体" w:hAnsi="Arial" w:cs="Arial"/>
          <w:color w:val="2B2B2B"/>
          <w:kern w:val="0"/>
          <w:sz w:val="32"/>
          <w:szCs w:val="32"/>
        </w:rPr>
        <w:t>调节的脂肪生成基因摘要，其基因的乳腺表达着乳脂抑制期间是协同减少的。</w:t>
      </w:r>
      <w:r w:rsidRPr="00C1386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021"/>
        <w:gridCol w:w="6501"/>
      </w:tblGrid>
      <w:tr w:rsidR="00C1386C" w:rsidRPr="00C1386C"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生物化学过程</w:t>
            </w:r>
          </w:p>
        </w:tc>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C1386C">
            <w:pPr>
              <w:widowControl/>
              <w:spacing w:before="100" w:beforeAutospacing="1" w:after="100" w:afterAutospacing="1"/>
              <w:ind w:firstLineChars="700" w:firstLine="2240"/>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酶</w:t>
            </w:r>
          </w:p>
        </w:tc>
      </w:tr>
      <w:tr w:rsidR="00C1386C" w:rsidRPr="00C1386C"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乳腺内合成</w:t>
            </w:r>
          </w:p>
        </w:tc>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乙酰辅酶A羟化酶；脂肪酸合成酶</w:t>
            </w:r>
          </w:p>
        </w:tc>
      </w:tr>
      <w:tr w:rsidR="00C1386C" w:rsidRPr="00C1386C"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功能性脂肪酸</w:t>
            </w:r>
          </w:p>
        </w:tc>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脂蛋白脂肪酶；脂肪乙酰辅酶A连接酶；</w:t>
            </w:r>
          </w:p>
        </w:tc>
      </w:tr>
      <w:tr w:rsidR="00C1386C" w:rsidRPr="00C1386C"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去饱和作用</w:t>
            </w:r>
          </w:p>
        </w:tc>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硬脂酰基辅酶A去饱和酶</w:t>
            </w:r>
          </w:p>
        </w:tc>
      </w:tr>
      <w:tr w:rsidR="00C1386C" w:rsidRPr="00C1386C"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酯化作用</w:t>
            </w:r>
          </w:p>
        </w:tc>
        <w:tc>
          <w:tcPr>
            <w:tcW w:w="0" w:type="auto"/>
            <w:tcBorders>
              <w:top w:val="single" w:sz="4" w:space="0" w:color="auto"/>
              <w:left w:val="single" w:sz="4" w:space="0" w:color="auto"/>
              <w:bottom w:val="single" w:sz="4" w:space="0" w:color="auto"/>
              <w:right w:val="single" w:sz="4" w:space="0" w:color="auto"/>
            </w:tcBorders>
            <w:hideMark/>
          </w:tcPr>
          <w:p w:rsidR="00C1386C" w:rsidRPr="00C1386C" w:rsidRDefault="00C1386C" w:rsidP="008302AE">
            <w:pPr>
              <w:widowControl/>
              <w:spacing w:before="100" w:beforeAutospacing="1" w:after="100" w:afterAutospacing="1"/>
              <w:jc w:val="left"/>
              <w:rPr>
                <w:rFonts w:ascii="宋体" w:eastAsia="宋体" w:hAnsi="宋体" w:cs="宋体"/>
                <w:color w:val="828282"/>
                <w:kern w:val="0"/>
                <w:sz w:val="32"/>
                <w:szCs w:val="32"/>
              </w:rPr>
            </w:pPr>
            <w:r w:rsidRPr="00C1386C">
              <w:rPr>
                <w:rFonts w:asciiTheme="minorEastAsia" w:eastAsia="宋体" w:hAnsiTheme="minorEastAsia" w:cs="Times New Roman" w:hint="eastAsia"/>
                <w:color w:val="828282"/>
                <w:kern w:val="0"/>
                <w:sz w:val="32"/>
                <w:szCs w:val="32"/>
              </w:rPr>
              <w:t>酰基甘油磷酸酰基转换酶；甘油磷酸酰基转换</w:t>
            </w:r>
            <w:r w:rsidRPr="00C1386C">
              <w:rPr>
                <w:rFonts w:asciiTheme="minorEastAsia" w:eastAsia="宋体" w:hAnsiTheme="minorEastAsia" w:cs="Times New Roman" w:hint="eastAsia"/>
                <w:color w:val="828282"/>
                <w:kern w:val="0"/>
                <w:sz w:val="32"/>
                <w:szCs w:val="32"/>
              </w:rPr>
              <w:lastRenderedPageBreak/>
              <w:t>酶</w:t>
            </w:r>
          </w:p>
        </w:tc>
      </w:tr>
    </w:tbl>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lastRenderedPageBreak/>
        <w:t xml:space="preserve">　　引自</w:t>
      </w:r>
      <w:r w:rsidRPr="00C1386C">
        <w:rPr>
          <w:rFonts w:ascii="Arial" w:eastAsia="宋体" w:hAnsi="Arial" w:cs="Arial"/>
          <w:color w:val="2B2B2B"/>
          <w:kern w:val="0"/>
          <w:sz w:val="32"/>
          <w:szCs w:val="32"/>
        </w:rPr>
        <w:t>Harvatine</w:t>
      </w:r>
      <w:r w:rsidRPr="00C1386C">
        <w:rPr>
          <w:rFonts w:ascii="Arial" w:eastAsia="宋体" w:hAnsi="Arial" w:cs="Arial"/>
          <w:color w:val="2B2B2B"/>
          <w:kern w:val="0"/>
          <w:sz w:val="32"/>
          <w:szCs w:val="32"/>
        </w:rPr>
        <w:t>等</w:t>
      </w:r>
      <w:r w:rsidRPr="00C1386C">
        <w:rPr>
          <w:rFonts w:ascii="Arial" w:eastAsia="宋体" w:hAnsi="Arial" w:cs="Arial"/>
          <w:color w:val="2B2B2B"/>
          <w:kern w:val="0"/>
          <w:sz w:val="32"/>
          <w:szCs w:val="32"/>
        </w:rPr>
        <w:t>(2009)</w:t>
      </w:r>
    </w:p>
    <w:p w:rsidR="00C1386C" w:rsidRPr="00C1386C" w:rsidRDefault="00C1386C" w:rsidP="00C1386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C1386C">
        <w:rPr>
          <w:rFonts w:ascii="Arial" w:eastAsia="宋体" w:hAnsi="Arial" w:cs="Arial"/>
          <w:color w:val="2B2B2B"/>
          <w:kern w:val="0"/>
          <w:sz w:val="32"/>
          <w:szCs w:val="32"/>
        </w:rPr>
        <w:t xml:space="preserve">　　</w:t>
      </w:r>
      <w:r w:rsidRPr="00C1386C">
        <w:rPr>
          <w:rFonts w:ascii="Arial" w:eastAsia="宋体" w:hAnsi="Arial" w:cs="Arial"/>
          <w:b/>
          <w:bCs/>
          <w:color w:val="2B2B2B"/>
          <w:kern w:val="0"/>
          <w:sz w:val="32"/>
          <w:szCs w:val="32"/>
        </w:rPr>
        <w:t>最后的想法</w:t>
      </w:r>
    </w:p>
    <w:p w:rsidR="000D55B1" w:rsidRDefault="00C1386C" w:rsidP="00C1386C">
      <w:pPr>
        <w:ind w:firstLine="660"/>
        <w:rPr>
          <w:rFonts w:ascii="Arial" w:eastAsia="宋体" w:hAnsi="Arial" w:cs="Arial"/>
          <w:color w:val="2B2B2B"/>
          <w:kern w:val="0"/>
          <w:sz w:val="32"/>
          <w:szCs w:val="32"/>
        </w:rPr>
      </w:pPr>
      <w:r w:rsidRPr="00C1386C">
        <w:rPr>
          <w:rFonts w:ascii="Arial" w:eastAsia="宋体" w:hAnsi="Arial" w:cs="Arial"/>
          <w:color w:val="2B2B2B"/>
          <w:kern w:val="0"/>
          <w:sz w:val="32"/>
          <w:szCs w:val="32"/>
        </w:rPr>
        <w:t>我们在养殖业上的挑战是了解生物学过程的调节及其在动物生产力、动物福利和疾病防治中的作用。估测是约二分之一至三分之二的生产效率的历史性进展来自遗传改良，而其余来自营养和管理的改进。本系列的这次和以前研讨会上的演讲，提供了有关营养、管理和泌乳生物学方面最新发展的非常宝贵的信息。但重要的是要认识，这是一揽子的交易</w:t>
      </w:r>
      <w:r w:rsidRPr="00C1386C">
        <w:rPr>
          <w:rFonts w:ascii="Arial" w:eastAsia="宋体" w:hAnsi="Arial" w:cs="Arial"/>
          <w:color w:val="2B2B2B"/>
          <w:kern w:val="0"/>
          <w:sz w:val="32"/>
          <w:szCs w:val="32"/>
        </w:rPr>
        <w:t>—</w:t>
      </w:r>
      <w:r w:rsidRPr="00C1386C">
        <w:rPr>
          <w:rFonts w:ascii="Arial" w:eastAsia="宋体" w:hAnsi="Arial" w:cs="Arial"/>
          <w:color w:val="2B2B2B"/>
          <w:kern w:val="0"/>
          <w:sz w:val="32"/>
          <w:szCs w:val="32"/>
        </w:rPr>
        <w:t>良好的营养和管理实践对于充分实现遗传的改良是绝对重要的。虽然以前的进展令人难忘，但近期在基因组学和营养上的发展表明，今后生产效率的进展机遇可能更大。</w:t>
      </w:r>
    </w:p>
    <w:p w:rsidR="00C1386C" w:rsidRPr="00785311" w:rsidRDefault="00C1386C" w:rsidP="00C1386C">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1386C" w:rsidRPr="00785311" w:rsidRDefault="00C1386C" w:rsidP="00C1386C">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C1386C" w:rsidRPr="00785311" w:rsidRDefault="00C1386C" w:rsidP="00C1386C">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1386C" w:rsidRPr="00917A63" w:rsidRDefault="000D55B1" w:rsidP="00C1386C">
      <w:pPr>
        <w:pStyle w:val="a6"/>
        <w:ind w:firstLine="480"/>
        <w:rPr>
          <w:b/>
          <w:color w:val="000000"/>
        </w:rPr>
      </w:pPr>
      <w:hyperlink r:id="rId8" w:history="1">
        <w:r w:rsidR="00C1386C" w:rsidRPr="00917A63">
          <w:rPr>
            <w:rStyle w:val="a8"/>
            <w:rFonts w:hint="eastAsia"/>
            <w:b/>
          </w:rPr>
          <w:t>下载：智能二代(Genetic Algorithm)饲料配方软件(猪、鸡饲料配方计算)</w:t>
        </w:r>
      </w:hyperlink>
    </w:p>
    <w:p w:rsidR="00C1386C" w:rsidRDefault="00C1386C" w:rsidP="00C1386C">
      <w:pPr>
        <w:jc w:val="center"/>
        <w:rPr>
          <w:b/>
          <w:color w:val="FF0000"/>
          <w:sz w:val="32"/>
          <w:szCs w:val="32"/>
        </w:rPr>
      </w:pPr>
    </w:p>
    <w:p w:rsidR="00C1386C" w:rsidRPr="004F7A8F" w:rsidRDefault="000D55B1" w:rsidP="00C1386C">
      <w:pPr>
        <w:jc w:val="center"/>
        <w:rPr>
          <w:b/>
          <w:color w:val="FF0000"/>
          <w:sz w:val="32"/>
          <w:szCs w:val="32"/>
        </w:rPr>
      </w:pPr>
      <w:hyperlink r:id="rId9" w:history="1">
        <w:r w:rsidR="00C1386C" w:rsidRPr="004F7A8F">
          <w:rPr>
            <w:rStyle w:val="a8"/>
            <w:rFonts w:hint="eastAsia"/>
            <w:b/>
            <w:color w:val="FF0000"/>
            <w:sz w:val="32"/>
            <w:szCs w:val="32"/>
          </w:rPr>
          <w:t>下载</w:t>
        </w:r>
        <w:r w:rsidR="00C1386C" w:rsidRPr="004F7A8F">
          <w:rPr>
            <w:rStyle w:val="a8"/>
            <w:rFonts w:hint="eastAsia"/>
            <w:b/>
            <w:color w:val="FF0000"/>
            <w:sz w:val="32"/>
            <w:szCs w:val="32"/>
          </w:rPr>
          <w:t>1</w:t>
        </w:r>
        <w:r w:rsidR="00C1386C" w:rsidRPr="004F7A8F">
          <w:rPr>
            <w:rStyle w:val="a8"/>
            <w:rFonts w:hint="eastAsia"/>
            <w:b/>
            <w:color w:val="FF0000"/>
            <w:sz w:val="32"/>
            <w:szCs w:val="32"/>
          </w:rPr>
          <w:t>：</w:t>
        </w:r>
        <w:r w:rsidR="00C1386C" w:rsidRPr="004F7A8F">
          <w:rPr>
            <w:rStyle w:val="a8"/>
            <w:rFonts w:hint="eastAsia"/>
            <w:b/>
            <w:color w:val="FF0000"/>
            <w:sz w:val="32"/>
            <w:szCs w:val="32"/>
          </w:rPr>
          <w:t xml:space="preserve">Feed mix </w:t>
        </w:r>
        <w:r w:rsidR="00C1386C" w:rsidRPr="004F7A8F">
          <w:rPr>
            <w:rStyle w:val="a8"/>
            <w:rFonts w:hint="eastAsia"/>
            <w:b/>
            <w:color w:val="FF0000"/>
            <w:sz w:val="32"/>
            <w:szCs w:val="32"/>
          </w:rPr>
          <w:t>反刍营养百分百</w:t>
        </w:r>
        <w:r w:rsidR="00C1386C" w:rsidRPr="004F7A8F">
          <w:rPr>
            <w:rStyle w:val="a8"/>
            <w:rFonts w:hint="eastAsia"/>
            <w:b/>
            <w:color w:val="FF0000"/>
            <w:sz w:val="32"/>
            <w:szCs w:val="32"/>
          </w:rPr>
          <w:t>-</w:t>
        </w:r>
        <w:r w:rsidR="00C1386C" w:rsidRPr="004F7A8F">
          <w:rPr>
            <w:rStyle w:val="a8"/>
            <w:rFonts w:hint="eastAsia"/>
            <w:b/>
            <w:color w:val="FF0000"/>
            <w:sz w:val="32"/>
            <w:szCs w:val="32"/>
          </w:rPr>
          <w:t>饲料配方软件</w:t>
        </w:r>
        <w:r w:rsidR="00C1386C" w:rsidRPr="004F7A8F">
          <w:rPr>
            <w:rStyle w:val="a8"/>
            <w:rFonts w:hint="eastAsia"/>
            <w:b/>
            <w:color w:val="FF0000"/>
            <w:sz w:val="32"/>
            <w:szCs w:val="32"/>
          </w:rPr>
          <w:t>(</w:t>
        </w:r>
        <w:r w:rsidR="00C1386C" w:rsidRPr="004F7A8F">
          <w:rPr>
            <w:rStyle w:val="a8"/>
            <w:rFonts w:hint="eastAsia"/>
            <w:b/>
            <w:color w:val="FF0000"/>
            <w:sz w:val="32"/>
            <w:szCs w:val="32"/>
          </w:rPr>
          <w:t>第四版</w:t>
        </w:r>
        <w:r w:rsidR="00C1386C" w:rsidRPr="004F7A8F">
          <w:rPr>
            <w:rStyle w:val="a8"/>
            <w:rFonts w:hint="eastAsia"/>
            <w:b/>
            <w:color w:val="FF0000"/>
            <w:sz w:val="32"/>
            <w:szCs w:val="32"/>
          </w:rPr>
          <w:t>)</w:t>
        </w:r>
      </w:hyperlink>
    </w:p>
    <w:p w:rsidR="00C1386C" w:rsidRPr="004F7A8F" w:rsidRDefault="00C1386C" w:rsidP="00C1386C">
      <w:pPr>
        <w:jc w:val="center"/>
        <w:rPr>
          <w:b/>
          <w:color w:val="FF0000"/>
          <w:sz w:val="32"/>
          <w:szCs w:val="32"/>
        </w:rPr>
      </w:pPr>
      <w:r>
        <w:rPr>
          <w:rFonts w:hint="eastAsia"/>
          <w:b/>
          <w:color w:val="FF0000"/>
          <w:sz w:val="32"/>
          <w:szCs w:val="32"/>
        </w:rPr>
        <w:t>QQ:1400072515</w:t>
      </w:r>
    </w:p>
    <w:p w:rsidR="00C1386C" w:rsidRPr="004F7A8F" w:rsidRDefault="000D55B1" w:rsidP="00C1386C">
      <w:pPr>
        <w:jc w:val="center"/>
        <w:rPr>
          <w:b/>
          <w:color w:val="FF0000"/>
          <w:sz w:val="32"/>
          <w:szCs w:val="32"/>
        </w:rPr>
      </w:pPr>
      <w:hyperlink r:id="rId10" w:history="1">
        <w:r w:rsidR="00C1386C" w:rsidRPr="004F7A8F">
          <w:rPr>
            <w:rStyle w:val="a8"/>
            <w:rFonts w:hint="eastAsia"/>
            <w:b/>
            <w:color w:val="FF0000"/>
            <w:sz w:val="32"/>
            <w:szCs w:val="32"/>
          </w:rPr>
          <w:t>下载</w:t>
        </w:r>
        <w:r w:rsidR="00C1386C" w:rsidRPr="004F7A8F">
          <w:rPr>
            <w:rStyle w:val="a8"/>
            <w:rFonts w:hint="eastAsia"/>
            <w:b/>
            <w:color w:val="FF0000"/>
            <w:sz w:val="32"/>
            <w:szCs w:val="32"/>
          </w:rPr>
          <w:t>2</w:t>
        </w:r>
        <w:r w:rsidR="00C1386C" w:rsidRPr="004F7A8F">
          <w:rPr>
            <w:rStyle w:val="a8"/>
            <w:rFonts w:hint="eastAsia"/>
            <w:b/>
            <w:color w:val="FF0000"/>
            <w:sz w:val="32"/>
            <w:szCs w:val="32"/>
          </w:rPr>
          <w:t>：</w:t>
        </w:r>
        <w:r w:rsidR="00C1386C" w:rsidRPr="004F7A8F">
          <w:rPr>
            <w:rStyle w:val="a8"/>
            <w:rFonts w:hint="eastAsia"/>
            <w:b/>
            <w:color w:val="FF0000"/>
            <w:sz w:val="32"/>
            <w:szCs w:val="32"/>
          </w:rPr>
          <w:t xml:space="preserve">Feed mix </w:t>
        </w:r>
        <w:r w:rsidR="00C1386C" w:rsidRPr="004F7A8F">
          <w:rPr>
            <w:rStyle w:val="a8"/>
            <w:rFonts w:hint="eastAsia"/>
            <w:b/>
            <w:color w:val="FF0000"/>
            <w:sz w:val="32"/>
            <w:szCs w:val="32"/>
          </w:rPr>
          <w:t>反刍营养百分百</w:t>
        </w:r>
        <w:r w:rsidR="00C1386C" w:rsidRPr="004F7A8F">
          <w:rPr>
            <w:rStyle w:val="a8"/>
            <w:rFonts w:hint="eastAsia"/>
            <w:b/>
            <w:color w:val="FF0000"/>
            <w:sz w:val="32"/>
            <w:szCs w:val="32"/>
          </w:rPr>
          <w:t>-</w:t>
        </w:r>
        <w:r w:rsidR="00C1386C" w:rsidRPr="004F7A8F">
          <w:rPr>
            <w:rStyle w:val="a8"/>
            <w:rFonts w:hint="eastAsia"/>
            <w:b/>
            <w:color w:val="FF0000"/>
            <w:sz w:val="32"/>
            <w:szCs w:val="32"/>
          </w:rPr>
          <w:t>饲料配方软件</w:t>
        </w:r>
        <w:r w:rsidR="00C1386C" w:rsidRPr="004F7A8F">
          <w:rPr>
            <w:rStyle w:val="a8"/>
            <w:rFonts w:hint="eastAsia"/>
            <w:b/>
            <w:color w:val="FF0000"/>
            <w:sz w:val="32"/>
            <w:szCs w:val="32"/>
          </w:rPr>
          <w:t>(</w:t>
        </w:r>
        <w:r w:rsidR="00C1386C" w:rsidRPr="004F7A8F">
          <w:rPr>
            <w:rStyle w:val="a8"/>
            <w:rFonts w:hint="eastAsia"/>
            <w:b/>
            <w:color w:val="FF0000"/>
            <w:sz w:val="32"/>
            <w:szCs w:val="32"/>
          </w:rPr>
          <w:t>第四版</w:t>
        </w:r>
        <w:r w:rsidR="00C1386C" w:rsidRPr="004F7A8F">
          <w:rPr>
            <w:rStyle w:val="a8"/>
            <w:rFonts w:hint="eastAsia"/>
            <w:b/>
            <w:color w:val="FF0000"/>
            <w:sz w:val="32"/>
            <w:szCs w:val="32"/>
          </w:rPr>
          <w:t>)</w:t>
        </w:r>
      </w:hyperlink>
    </w:p>
    <w:p w:rsidR="00CF55BA" w:rsidRDefault="00CF55BA" w:rsidP="00CF55B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C1386C" w:rsidRPr="00CF55BA" w:rsidRDefault="00C1386C" w:rsidP="00C1386C">
      <w:pPr>
        <w:ind w:firstLine="660"/>
        <w:rPr>
          <w:sz w:val="32"/>
          <w:szCs w:val="32"/>
        </w:rPr>
      </w:pPr>
    </w:p>
    <w:sectPr w:rsidR="00C1386C" w:rsidRPr="00CF55BA" w:rsidSect="000D55B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CAD" w:rsidRDefault="00D43CAD" w:rsidP="00C1386C">
      <w:r>
        <w:separator/>
      </w:r>
    </w:p>
  </w:endnote>
  <w:endnote w:type="continuationSeparator" w:id="1">
    <w:p w:rsidR="00D43CAD" w:rsidRDefault="00D43CAD" w:rsidP="00C138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CAD" w:rsidRDefault="00D43CAD" w:rsidP="00C1386C">
      <w:r>
        <w:separator/>
      </w:r>
    </w:p>
  </w:footnote>
  <w:footnote w:type="continuationSeparator" w:id="1">
    <w:p w:rsidR="00D43CAD" w:rsidRDefault="00D43CAD" w:rsidP="00C138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86C" w:rsidRDefault="00C1386C">
    <w:pPr>
      <w:pStyle w:val="a3"/>
    </w:pPr>
    <w:r w:rsidRPr="00C1386C">
      <w:rPr>
        <w:rFonts w:hint="eastAsia"/>
      </w:rPr>
      <w:t xml:space="preserve">Feed mix </w:t>
    </w:r>
    <w:r w:rsidRPr="00C1386C">
      <w:rPr>
        <w:rFonts w:hint="eastAsia"/>
      </w:rPr>
      <w:t>反刍营养百分百</w:t>
    </w:r>
    <w:r w:rsidRPr="00C1386C">
      <w:rPr>
        <w:rFonts w:hint="eastAsia"/>
      </w:rPr>
      <w:t>-</w:t>
    </w:r>
    <w:r w:rsidRPr="00C1386C">
      <w:rPr>
        <w:rFonts w:hint="eastAsia"/>
      </w:rPr>
      <w:t>饲料配方软件</w:t>
    </w:r>
    <w:r w:rsidRPr="00C1386C">
      <w:rPr>
        <w:rFonts w:hint="eastAsia"/>
      </w:rPr>
      <w:t>(</w:t>
    </w:r>
    <w:r w:rsidRPr="00C1386C">
      <w:rPr>
        <w:rFonts w:hint="eastAsia"/>
      </w:rPr>
      <w:t>奶牛、肉牛、肉羊饲料日粮</w:t>
    </w:r>
    <w:r w:rsidRPr="00C1386C">
      <w:rPr>
        <w:rFonts w:hint="eastAsia"/>
      </w:rPr>
      <w:t>TMR</w:t>
    </w:r>
    <w:r w:rsidRPr="00C1386C">
      <w:rPr>
        <w:rFonts w:hint="eastAsia"/>
      </w:rPr>
      <w:t>计算</w:t>
    </w:r>
    <w:r w:rsidRPr="00C1386C">
      <w:rPr>
        <w:rFonts w:hint="eastAsia"/>
      </w:rPr>
      <w:t>)QQ</w:t>
    </w:r>
    <w:r w:rsidRPr="00C1386C">
      <w:rPr>
        <w:rFonts w:hint="eastAsia"/>
      </w:rPr>
      <w:t>：</w:t>
    </w:r>
    <w:r w:rsidRPr="00C1386C">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386C"/>
    <w:rsid w:val="000D55B1"/>
    <w:rsid w:val="008A5410"/>
    <w:rsid w:val="00C1386C"/>
    <w:rsid w:val="00CF55BA"/>
    <w:rsid w:val="00D43C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38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386C"/>
    <w:rPr>
      <w:sz w:val="18"/>
      <w:szCs w:val="18"/>
    </w:rPr>
  </w:style>
  <w:style w:type="paragraph" w:styleId="a4">
    <w:name w:val="footer"/>
    <w:basedOn w:val="a"/>
    <w:link w:val="Char0"/>
    <w:uiPriority w:val="99"/>
    <w:semiHidden/>
    <w:unhideWhenUsed/>
    <w:rsid w:val="00C138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386C"/>
    <w:rPr>
      <w:sz w:val="18"/>
      <w:szCs w:val="18"/>
    </w:rPr>
  </w:style>
  <w:style w:type="paragraph" w:styleId="a5">
    <w:name w:val="Balloon Text"/>
    <w:basedOn w:val="a"/>
    <w:link w:val="Char1"/>
    <w:uiPriority w:val="99"/>
    <w:semiHidden/>
    <w:unhideWhenUsed/>
    <w:rsid w:val="00C1386C"/>
    <w:rPr>
      <w:sz w:val="18"/>
      <w:szCs w:val="18"/>
    </w:rPr>
  </w:style>
  <w:style w:type="character" w:customStyle="1" w:styleId="Char1">
    <w:name w:val="批注框文本 Char"/>
    <w:basedOn w:val="a0"/>
    <w:link w:val="a5"/>
    <w:uiPriority w:val="99"/>
    <w:semiHidden/>
    <w:rsid w:val="00C1386C"/>
    <w:rPr>
      <w:sz w:val="18"/>
      <w:szCs w:val="18"/>
    </w:rPr>
  </w:style>
  <w:style w:type="paragraph" w:styleId="a6">
    <w:name w:val="Normal (Web)"/>
    <w:basedOn w:val="a"/>
    <w:uiPriority w:val="99"/>
    <w:rsid w:val="00C1386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1386C"/>
    <w:rPr>
      <w:b/>
      <w:bCs/>
    </w:rPr>
  </w:style>
  <w:style w:type="character" w:styleId="a8">
    <w:name w:val="Hyperlink"/>
    <w:basedOn w:val="a0"/>
    <w:rsid w:val="00C1386C"/>
    <w:rPr>
      <w:color w:val="0000FF"/>
      <w:u w:val="single"/>
    </w:rPr>
  </w:style>
</w:styles>
</file>

<file path=word/webSettings.xml><?xml version="1.0" encoding="utf-8"?>
<w:webSettings xmlns:r="http://schemas.openxmlformats.org/officeDocument/2006/relationships" xmlns:w="http://schemas.openxmlformats.org/wordprocessingml/2006/main">
  <w:divs>
    <w:div w:id="5781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2015-01-04T12:30:00Z</dcterms:created>
  <dcterms:modified xsi:type="dcterms:W3CDTF">2015-01-06T01:53:00Z</dcterms:modified>
</cp:coreProperties>
</file>