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F71" w:rsidRPr="0034508A" w:rsidRDefault="00276F71" w:rsidP="00276F71">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34508A">
        <w:rPr>
          <w:rFonts w:ascii="Arial" w:eastAsia="宋体" w:hAnsi="Arial" w:cs="Arial"/>
          <w:b/>
          <w:bCs/>
          <w:color w:val="01288D"/>
          <w:kern w:val="36"/>
          <w:sz w:val="33"/>
          <w:szCs w:val="33"/>
        </w:rPr>
        <w:t>乳用青年母牛的精确饲喂</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4508A">
        <w:rPr>
          <w:rFonts w:ascii="Arial" w:eastAsia="宋体" w:hAnsi="Arial" w:cs="Arial"/>
          <w:color w:val="2B2B2B"/>
          <w:kern w:val="0"/>
          <w:szCs w:val="21"/>
        </w:rPr>
        <w:t xml:space="preserve">　　</w:t>
      </w:r>
      <w:r w:rsidRPr="00276F71">
        <w:rPr>
          <w:rFonts w:ascii="Arial" w:eastAsia="宋体" w:hAnsi="Arial" w:cs="Arial"/>
          <w:color w:val="2B2B2B"/>
          <w:kern w:val="0"/>
          <w:sz w:val="32"/>
          <w:szCs w:val="32"/>
        </w:rPr>
        <w:t>乳用青年母牛意味着包括饲料、建筑物和劳动力在内的一大笔开支，在产犊之前，她们对奶牛场没有回报。这些青年母牛的全面管理必须以一种培育质量最优，具有高产和获利丰厚潜力，对奶牛场和环境开销最少的青年母牛的方式进行。</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在过去的</w:t>
      </w:r>
      <w:r w:rsidRPr="00276F71">
        <w:rPr>
          <w:rFonts w:ascii="Arial" w:eastAsia="宋体" w:hAnsi="Arial" w:cs="Arial"/>
          <w:color w:val="2B2B2B"/>
          <w:kern w:val="0"/>
          <w:sz w:val="32"/>
          <w:szCs w:val="32"/>
        </w:rPr>
        <w:t>10</w:t>
      </w:r>
      <w:r w:rsidRPr="00276F71">
        <w:rPr>
          <w:rFonts w:ascii="Arial" w:eastAsia="宋体" w:hAnsi="Arial" w:cs="Arial"/>
          <w:color w:val="2B2B2B"/>
          <w:kern w:val="0"/>
          <w:sz w:val="32"/>
          <w:szCs w:val="32"/>
        </w:rPr>
        <w:t>年中，出现了有关青年母牛的大量研究，远远超过上一个</w:t>
      </w:r>
      <w:r w:rsidRPr="00276F71">
        <w:rPr>
          <w:rFonts w:ascii="Arial" w:eastAsia="宋体" w:hAnsi="Arial" w:cs="Arial"/>
          <w:color w:val="2B2B2B"/>
          <w:kern w:val="0"/>
          <w:sz w:val="32"/>
          <w:szCs w:val="32"/>
        </w:rPr>
        <w:t>10</w:t>
      </w:r>
      <w:r w:rsidRPr="00276F71">
        <w:rPr>
          <w:rFonts w:ascii="Arial" w:eastAsia="宋体" w:hAnsi="Arial" w:cs="Arial"/>
          <w:color w:val="2B2B2B"/>
          <w:kern w:val="0"/>
          <w:sz w:val="32"/>
          <w:szCs w:val="32"/>
        </w:rPr>
        <w:t>年。我们知道，初情期之前，荷斯坦青年母牛每天应该增重</w:t>
      </w:r>
      <w:r w:rsidRPr="00276F71">
        <w:rPr>
          <w:rFonts w:ascii="Arial" w:eastAsia="宋体" w:hAnsi="Arial" w:cs="Arial"/>
          <w:color w:val="2B2B2B"/>
          <w:kern w:val="0"/>
          <w:sz w:val="32"/>
          <w:szCs w:val="32"/>
        </w:rPr>
        <w:t>0.77~0.86</w:t>
      </w:r>
      <w:r w:rsidRPr="00276F71">
        <w:rPr>
          <w:rFonts w:ascii="Arial" w:eastAsia="宋体" w:hAnsi="Arial" w:cs="Arial"/>
          <w:color w:val="2B2B2B"/>
          <w:kern w:val="0"/>
          <w:sz w:val="32"/>
          <w:szCs w:val="32"/>
        </w:rPr>
        <w:t>千克，到产犊时应该达到成年体重</w:t>
      </w:r>
      <w:r w:rsidRPr="00276F71">
        <w:rPr>
          <w:rFonts w:ascii="Arial" w:eastAsia="宋体" w:hAnsi="Arial" w:cs="Arial"/>
          <w:color w:val="2B2B2B"/>
          <w:kern w:val="0"/>
          <w:sz w:val="32"/>
          <w:szCs w:val="32"/>
        </w:rPr>
        <w:t>(BW)</w:t>
      </w:r>
      <w:r w:rsidRPr="00276F71">
        <w:rPr>
          <w:rFonts w:ascii="Arial" w:eastAsia="宋体" w:hAnsi="Arial" w:cs="Arial"/>
          <w:color w:val="2B2B2B"/>
          <w:kern w:val="0"/>
          <w:sz w:val="32"/>
          <w:szCs w:val="32"/>
        </w:rPr>
        <w:t>的</w:t>
      </w:r>
      <w:r w:rsidRPr="00276F71">
        <w:rPr>
          <w:rFonts w:ascii="Arial" w:eastAsia="宋体" w:hAnsi="Arial" w:cs="Arial"/>
          <w:color w:val="2B2B2B"/>
          <w:kern w:val="0"/>
          <w:sz w:val="32"/>
          <w:szCs w:val="32"/>
        </w:rPr>
        <w:t>85%~90%</w:t>
      </w:r>
      <w:r w:rsidRPr="00276F71">
        <w:rPr>
          <w:rFonts w:ascii="Arial" w:eastAsia="宋体" w:hAnsi="Arial" w:cs="Arial"/>
          <w:color w:val="2B2B2B"/>
          <w:kern w:val="0"/>
          <w:sz w:val="32"/>
          <w:szCs w:val="32"/>
        </w:rPr>
        <w:t>，以获得第一个泌乳期最理想的产奶量。青年母牛应该在</w:t>
      </w:r>
      <w:r w:rsidRPr="00276F71">
        <w:rPr>
          <w:rFonts w:ascii="Arial" w:eastAsia="宋体" w:hAnsi="Arial" w:cs="Arial"/>
          <w:color w:val="2B2B2B"/>
          <w:kern w:val="0"/>
          <w:sz w:val="32"/>
          <w:szCs w:val="32"/>
        </w:rPr>
        <w:t>22~23</w:t>
      </w:r>
      <w:r w:rsidRPr="00276F71">
        <w:rPr>
          <w:rFonts w:ascii="Arial" w:eastAsia="宋体" w:hAnsi="Arial" w:cs="Arial"/>
          <w:color w:val="2B2B2B"/>
          <w:kern w:val="0"/>
          <w:sz w:val="32"/>
          <w:szCs w:val="32"/>
        </w:rPr>
        <w:t>月龄产犊，以尽可能降低第一个泌乳期的饲养成本，获得最大的产奶量。</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对乳用青年母牛来说，干物质进食量</w:t>
      </w:r>
      <w:r w:rsidRPr="00276F71">
        <w:rPr>
          <w:rFonts w:ascii="Arial" w:eastAsia="宋体" w:hAnsi="Arial" w:cs="Arial"/>
          <w:color w:val="2B2B2B"/>
          <w:kern w:val="0"/>
          <w:sz w:val="32"/>
          <w:szCs w:val="32"/>
        </w:rPr>
        <w:t>(DMI )</w:t>
      </w:r>
      <w:r w:rsidRPr="00276F71">
        <w:rPr>
          <w:rFonts w:ascii="Arial" w:eastAsia="宋体" w:hAnsi="Arial" w:cs="Arial"/>
          <w:color w:val="2B2B2B"/>
          <w:kern w:val="0"/>
          <w:sz w:val="32"/>
          <w:szCs w:val="32"/>
        </w:rPr>
        <w:t>与日粮消化率呈负相关。降低青年母牛的</w:t>
      </w:r>
      <w:r w:rsidRPr="00276F71">
        <w:rPr>
          <w:rFonts w:ascii="Arial" w:eastAsia="宋体" w:hAnsi="Arial" w:cs="Arial"/>
          <w:color w:val="2B2B2B"/>
          <w:kern w:val="0"/>
          <w:sz w:val="32"/>
          <w:szCs w:val="32"/>
        </w:rPr>
        <w:t xml:space="preserve">DMI </w:t>
      </w:r>
      <w:r w:rsidRPr="00276F71">
        <w:rPr>
          <w:rFonts w:ascii="Arial" w:eastAsia="宋体" w:hAnsi="Arial" w:cs="Arial"/>
          <w:color w:val="2B2B2B"/>
          <w:kern w:val="0"/>
          <w:sz w:val="32"/>
          <w:szCs w:val="32"/>
        </w:rPr>
        <w:t>，使得饲料通过瘤胃的速度下降，因此瘤胃微生物有较多的时间降解饲料中的纤维和其它养分。其最终结果往往是饲料消化率的改善。因此，牛只采食较少的干物质</w:t>
      </w:r>
      <w:r w:rsidRPr="00276F71">
        <w:rPr>
          <w:rFonts w:ascii="Arial" w:eastAsia="宋体" w:hAnsi="Arial" w:cs="Arial"/>
          <w:color w:val="2B2B2B"/>
          <w:kern w:val="0"/>
          <w:sz w:val="32"/>
          <w:szCs w:val="32"/>
        </w:rPr>
        <w:t>(DM)</w:t>
      </w:r>
      <w:r w:rsidRPr="00276F71">
        <w:rPr>
          <w:rFonts w:ascii="Arial" w:eastAsia="宋体" w:hAnsi="Arial" w:cs="Arial"/>
          <w:color w:val="2B2B2B"/>
          <w:kern w:val="0"/>
          <w:sz w:val="32"/>
          <w:szCs w:val="32"/>
        </w:rPr>
        <w:t>时，提供生长所需养分数量的</w:t>
      </w:r>
      <w:r w:rsidRPr="00276F71">
        <w:rPr>
          <w:rFonts w:ascii="Arial" w:eastAsia="宋体" w:hAnsi="Arial" w:cs="Arial"/>
          <w:color w:val="2B2B2B"/>
          <w:kern w:val="0"/>
          <w:sz w:val="32"/>
          <w:szCs w:val="32"/>
        </w:rPr>
        <w:t>DM</w:t>
      </w:r>
      <w:r w:rsidRPr="00276F71">
        <w:rPr>
          <w:rFonts w:ascii="Arial" w:eastAsia="宋体" w:hAnsi="Arial" w:cs="Arial"/>
          <w:color w:val="2B2B2B"/>
          <w:kern w:val="0"/>
          <w:sz w:val="32"/>
          <w:szCs w:val="32"/>
        </w:rPr>
        <w:t>，饲料中更多的能量会被用于生长，较少损失到粪肥中。这两个营养原则结合可产生乳用青年母牛饲料利用率的显著改善。精确饲喂的理念是更精确地了解目标生长速度和满</w:t>
      </w:r>
      <w:r w:rsidRPr="00276F71">
        <w:rPr>
          <w:rFonts w:ascii="Arial" w:eastAsia="宋体" w:hAnsi="Arial" w:cs="Arial"/>
          <w:color w:val="2B2B2B"/>
          <w:kern w:val="0"/>
          <w:sz w:val="32"/>
          <w:szCs w:val="32"/>
        </w:rPr>
        <w:lastRenderedPageBreak/>
        <w:t>足这些生长速度的养分需要量，以及利用各种方法改善消化率和饲料转化率的结合。</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大量最近的青年母牛营养研究业已评估了给乳用青年母牛精确饲喂易消化的日粮，来改善饲料转化率，减少粪肥量。饲料代表青年母牛生产总成本中最大的组成部分，而这显然体现了控制青年母牛饲养成本的主要方式。日粮类型和喂料量是影响饲料转化率的重要因素，也是我们在精确饲喂青年母牛中采用的主要方面。日粮消化率显然也很重要。日粮中采用的饲料原料越容易消化，青年母牛的效率就越高。</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根据已出版的精确饲喂乳用荷斯坦青年母牛的研究，目前的营养具体要求如下：</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b/>
          <w:bCs/>
          <w:color w:val="2B2B2B"/>
          <w:kern w:val="0"/>
          <w:sz w:val="32"/>
          <w:szCs w:val="32"/>
        </w:rPr>
        <w:t>蛋白质：</w:t>
      </w:r>
      <w:r w:rsidRPr="00276F71">
        <w:rPr>
          <w:rFonts w:ascii="Arial" w:eastAsia="宋体" w:hAnsi="Arial" w:cs="Arial"/>
          <w:color w:val="2B2B2B"/>
          <w:kern w:val="0"/>
          <w:sz w:val="32"/>
          <w:szCs w:val="32"/>
        </w:rPr>
        <w:t>主要是粗蛋白和可溶性蛋白质的平衡。</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根据每天</w:t>
      </w:r>
      <w:r w:rsidRPr="00276F71">
        <w:rPr>
          <w:rFonts w:ascii="Arial" w:eastAsia="宋体" w:hAnsi="Arial" w:cs="Arial"/>
          <w:color w:val="2B2B2B"/>
          <w:kern w:val="0"/>
          <w:sz w:val="32"/>
          <w:szCs w:val="32"/>
        </w:rPr>
        <w:t>2.15%</w:t>
      </w:r>
      <w:r w:rsidRPr="00276F71">
        <w:rPr>
          <w:rFonts w:ascii="Arial" w:eastAsia="宋体" w:hAnsi="Arial" w:cs="Arial"/>
          <w:color w:val="2B2B2B"/>
          <w:kern w:val="0"/>
          <w:sz w:val="32"/>
          <w:szCs w:val="32"/>
        </w:rPr>
        <w:t>体重的干物质采食量，初情期前青年母牛的粗蛋白含量为</w:t>
      </w:r>
      <w:r w:rsidRPr="00276F71">
        <w:rPr>
          <w:rFonts w:ascii="Arial" w:eastAsia="宋体" w:hAnsi="Arial" w:cs="Arial"/>
          <w:color w:val="2B2B2B"/>
          <w:kern w:val="0"/>
          <w:sz w:val="32"/>
          <w:szCs w:val="32"/>
        </w:rPr>
        <w:t>14~15%</w:t>
      </w:r>
      <w:r w:rsidRPr="00276F71">
        <w:rPr>
          <w:rFonts w:ascii="Arial" w:eastAsia="宋体" w:hAnsi="Arial" w:cs="Arial"/>
          <w:color w:val="2B2B2B"/>
          <w:kern w:val="0"/>
          <w:sz w:val="32"/>
          <w:szCs w:val="32"/>
        </w:rPr>
        <w:t>。</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根据每天</w:t>
      </w:r>
      <w:r w:rsidRPr="00276F71">
        <w:rPr>
          <w:rFonts w:ascii="Arial" w:eastAsia="宋体" w:hAnsi="Arial" w:cs="Arial"/>
          <w:color w:val="2B2B2B"/>
          <w:kern w:val="0"/>
          <w:sz w:val="32"/>
          <w:szCs w:val="32"/>
        </w:rPr>
        <w:t>1.65%</w:t>
      </w:r>
      <w:r w:rsidRPr="00276F71">
        <w:rPr>
          <w:rFonts w:ascii="Arial" w:eastAsia="宋体" w:hAnsi="Arial" w:cs="Arial"/>
          <w:color w:val="2B2B2B"/>
          <w:kern w:val="0"/>
          <w:sz w:val="32"/>
          <w:szCs w:val="32"/>
        </w:rPr>
        <w:t>体重的干物质采食量，初情期后青年母牛的粗蛋白含量为</w:t>
      </w:r>
      <w:r w:rsidRPr="00276F71">
        <w:rPr>
          <w:rFonts w:ascii="Arial" w:eastAsia="宋体" w:hAnsi="Arial" w:cs="Arial"/>
          <w:color w:val="2B2B2B"/>
          <w:kern w:val="0"/>
          <w:sz w:val="32"/>
          <w:szCs w:val="32"/>
        </w:rPr>
        <w:t>13~14%</w:t>
      </w:r>
      <w:r w:rsidRPr="00276F71">
        <w:rPr>
          <w:rFonts w:ascii="Arial" w:eastAsia="宋体" w:hAnsi="Arial" w:cs="Arial"/>
          <w:color w:val="2B2B2B"/>
          <w:kern w:val="0"/>
          <w:sz w:val="32"/>
          <w:szCs w:val="32"/>
        </w:rPr>
        <w:t>。</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保持日粮中至少</w:t>
      </w:r>
      <w:r w:rsidRPr="00276F71">
        <w:rPr>
          <w:rFonts w:ascii="Arial" w:eastAsia="宋体" w:hAnsi="Arial" w:cs="Arial"/>
          <w:color w:val="2B2B2B"/>
          <w:kern w:val="0"/>
          <w:sz w:val="32"/>
          <w:szCs w:val="32"/>
        </w:rPr>
        <w:t>30~35%</w:t>
      </w:r>
      <w:r w:rsidRPr="00276F71">
        <w:rPr>
          <w:rFonts w:ascii="Arial" w:eastAsia="宋体" w:hAnsi="Arial" w:cs="Arial"/>
          <w:color w:val="2B2B2B"/>
          <w:kern w:val="0"/>
          <w:sz w:val="32"/>
          <w:szCs w:val="32"/>
        </w:rPr>
        <w:t>可溶性蛋白质，以获得理想的瘤胃微生物蛋白质产量。</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lastRenderedPageBreak/>
        <w:t xml:space="preserve">　　</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瘤胃非降解粗蛋白水平不需要超过</w:t>
      </w:r>
      <w:r w:rsidRPr="00276F71">
        <w:rPr>
          <w:rFonts w:ascii="Arial" w:eastAsia="宋体" w:hAnsi="Arial" w:cs="Arial"/>
          <w:color w:val="2B2B2B"/>
          <w:kern w:val="0"/>
          <w:sz w:val="32"/>
          <w:szCs w:val="32"/>
        </w:rPr>
        <w:t>25~30%;</w:t>
      </w:r>
      <w:r w:rsidRPr="00276F71">
        <w:rPr>
          <w:rFonts w:ascii="Arial" w:eastAsia="宋体" w:hAnsi="Arial" w:cs="Arial"/>
          <w:color w:val="2B2B2B"/>
          <w:kern w:val="0"/>
          <w:sz w:val="32"/>
          <w:szCs w:val="32"/>
        </w:rPr>
        <w:t>根据价格和利用率，只采用常规的饲料来源，不饲喂专门设计的过瘤胃蛋白质含量高的饲料。</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乳用青年母牛可有效利用可溶性蛋白质</w:t>
      </w:r>
      <w:r w:rsidRPr="00276F71">
        <w:rPr>
          <w:rFonts w:ascii="Arial" w:eastAsia="宋体" w:hAnsi="Arial" w:cs="Arial"/>
          <w:color w:val="2B2B2B"/>
          <w:kern w:val="0"/>
          <w:sz w:val="32"/>
          <w:szCs w:val="32"/>
        </w:rPr>
        <w:t xml:space="preserve">(SP) </w:t>
      </w:r>
      <w:r w:rsidRPr="00276F71">
        <w:rPr>
          <w:rFonts w:ascii="Arial" w:eastAsia="宋体" w:hAnsi="Arial" w:cs="Arial"/>
          <w:color w:val="2B2B2B"/>
          <w:kern w:val="0"/>
          <w:sz w:val="32"/>
          <w:szCs w:val="32"/>
        </w:rPr>
        <w:t>和瘤胃降解蛋白</w:t>
      </w:r>
      <w:r w:rsidRPr="00276F71">
        <w:rPr>
          <w:rFonts w:ascii="Arial" w:eastAsia="宋体" w:hAnsi="Arial" w:cs="Arial"/>
          <w:color w:val="2B2B2B"/>
          <w:kern w:val="0"/>
          <w:sz w:val="32"/>
          <w:szCs w:val="32"/>
        </w:rPr>
        <w:t xml:space="preserve">(RDP) </w:t>
      </w:r>
      <w:r w:rsidRPr="00276F71">
        <w:rPr>
          <w:rFonts w:ascii="Arial" w:eastAsia="宋体" w:hAnsi="Arial" w:cs="Arial"/>
          <w:color w:val="2B2B2B"/>
          <w:kern w:val="0"/>
          <w:sz w:val="32"/>
          <w:szCs w:val="32"/>
        </w:rPr>
        <w:t>。</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b/>
          <w:bCs/>
          <w:color w:val="2B2B2B"/>
          <w:kern w:val="0"/>
          <w:sz w:val="32"/>
          <w:szCs w:val="32"/>
        </w:rPr>
        <w:t xml:space="preserve">　能量：</w:t>
      </w:r>
      <w:r w:rsidRPr="00276F71">
        <w:rPr>
          <w:rFonts w:ascii="Arial" w:eastAsia="宋体" w:hAnsi="Arial" w:cs="Arial"/>
          <w:color w:val="2B2B2B"/>
          <w:kern w:val="0"/>
          <w:sz w:val="32"/>
          <w:szCs w:val="32"/>
        </w:rPr>
        <w:t>青年母牛的能量需要量受体重、生长速度及其所处饲养环境的影响。配合能量含量固定</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通常稍高</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的青年母牛日粮，精确饲喂，以特别满足青年母牛生长的能量需要量。</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b/>
          <w:bCs/>
          <w:color w:val="2B2B2B"/>
          <w:kern w:val="0"/>
          <w:sz w:val="32"/>
          <w:szCs w:val="32"/>
        </w:rPr>
        <w:t>纤维：</w:t>
      </w:r>
      <w:r w:rsidRPr="00276F71">
        <w:rPr>
          <w:rFonts w:ascii="Arial" w:eastAsia="宋体" w:hAnsi="Arial" w:cs="Arial"/>
          <w:color w:val="2B2B2B"/>
          <w:kern w:val="0"/>
          <w:sz w:val="32"/>
          <w:szCs w:val="32"/>
        </w:rPr>
        <w:t>传统上，给乳用青年母牛饲喂高水平纤维和低品质饲草，以控制日粮的能量水平。不过，精确饲喂高精料、低纤维日粮能有效达到同样的目标。经济和奶牛场可利用的饲草通常左右着饲喂的饲草水平。研究表明，饲草与精料的比率可以很广，从</w:t>
      </w:r>
      <w:r w:rsidRPr="00276F71">
        <w:rPr>
          <w:rFonts w:ascii="Arial" w:eastAsia="宋体" w:hAnsi="Arial" w:cs="Arial"/>
          <w:color w:val="2B2B2B"/>
          <w:kern w:val="0"/>
          <w:sz w:val="32"/>
          <w:szCs w:val="32"/>
        </w:rPr>
        <w:t>95%</w:t>
      </w:r>
      <w:r w:rsidRPr="00276F71">
        <w:rPr>
          <w:rFonts w:ascii="Arial" w:eastAsia="宋体" w:hAnsi="Arial" w:cs="Arial"/>
          <w:color w:val="2B2B2B"/>
          <w:kern w:val="0"/>
          <w:sz w:val="32"/>
          <w:szCs w:val="32"/>
        </w:rPr>
        <w:t>饲草到</w:t>
      </w:r>
      <w:r w:rsidRPr="00276F71">
        <w:rPr>
          <w:rFonts w:ascii="Arial" w:eastAsia="宋体" w:hAnsi="Arial" w:cs="Arial"/>
          <w:color w:val="2B2B2B"/>
          <w:kern w:val="0"/>
          <w:sz w:val="32"/>
          <w:szCs w:val="32"/>
        </w:rPr>
        <w:t>25%</w:t>
      </w:r>
      <w:r w:rsidRPr="00276F71">
        <w:rPr>
          <w:rFonts w:ascii="Arial" w:eastAsia="宋体" w:hAnsi="Arial" w:cs="Arial"/>
          <w:color w:val="2B2B2B"/>
          <w:kern w:val="0"/>
          <w:sz w:val="32"/>
          <w:szCs w:val="32"/>
        </w:rPr>
        <w:t>饲草。</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b/>
          <w:bCs/>
          <w:color w:val="2B2B2B"/>
          <w:kern w:val="0"/>
          <w:sz w:val="32"/>
          <w:szCs w:val="32"/>
        </w:rPr>
        <w:t>维生素和矿物质：</w:t>
      </w:r>
      <w:r w:rsidRPr="00276F71">
        <w:rPr>
          <w:rFonts w:ascii="Arial" w:eastAsia="宋体" w:hAnsi="Arial" w:cs="Arial"/>
          <w:color w:val="2B2B2B"/>
          <w:kern w:val="0"/>
          <w:sz w:val="32"/>
          <w:szCs w:val="32"/>
        </w:rPr>
        <w:t>在精确饲喂体系中，平衡日粮满足目前</w:t>
      </w:r>
      <w:r w:rsidRPr="00276F71">
        <w:rPr>
          <w:rFonts w:ascii="Arial" w:eastAsia="宋体" w:hAnsi="Arial" w:cs="Arial"/>
          <w:color w:val="2B2B2B"/>
          <w:kern w:val="0"/>
          <w:sz w:val="32"/>
          <w:szCs w:val="32"/>
        </w:rPr>
        <w:t>NRC</w:t>
      </w:r>
      <w:r w:rsidRPr="00276F71">
        <w:rPr>
          <w:rFonts w:ascii="Arial" w:eastAsia="宋体" w:hAnsi="Arial" w:cs="Arial"/>
          <w:color w:val="2B2B2B"/>
          <w:kern w:val="0"/>
          <w:sz w:val="32"/>
          <w:szCs w:val="32"/>
        </w:rPr>
        <w:t>的维生素和矿物质的具体标准是重要的。由于较新数据有限，青年母牛精确饲喂时，没有迹象表明要建议改变维生素和矿物质的需要量。</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b/>
          <w:bCs/>
          <w:color w:val="2B2B2B"/>
          <w:kern w:val="0"/>
          <w:sz w:val="32"/>
          <w:szCs w:val="32"/>
        </w:rPr>
        <w:t>监测青年母牛的体重</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lastRenderedPageBreak/>
        <w:t xml:space="preserve">　　给青年母牛称重是衡量动物生产性能的一项相对简单的方法，这种方法对顺利实施乳用青年母牛的精确饲喂是必须的。对精确饲喂系统的青年母牛，必须经过称重才能了解维持在规定的月龄配种或规定的体重产犊所需的生长速度需要供给的饲料量。</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b/>
          <w:bCs/>
          <w:color w:val="2B2B2B"/>
          <w:kern w:val="0"/>
          <w:sz w:val="32"/>
          <w:szCs w:val="32"/>
        </w:rPr>
        <w:t>建议</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在同一时间</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相对于饲喂时间</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给青年母牛称重，否则肠道内容物的改变会影响平均日增重</w:t>
      </w:r>
      <w:r w:rsidRPr="00276F71">
        <w:rPr>
          <w:rFonts w:ascii="Arial" w:eastAsia="宋体" w:hAnsi="Arial" w:cs="Arial"/>
          <w:color w:val="2B2B2B"/>
          <w:kern w:val="0"/>
          <w:sz w:val="32"/>
          <w:szCs w:val="32"/>
        </w:rPr>
        <w:t xml:space="preserve"> (ADG) </w:t>
      </w:r>
      <w:r w:rsidRPr="00276F71">
        <w:rPr>
          <w:rFonts w:ascii="Arial" w:eastAsia="宋体" w:hAnsi="Arial" w:cs="Arial"/>
          <w:color w:val="2B2B2B"/>
          <w:kern w:val="0"/>
          <w:sz w:val="32"/>
          <w:szCs w:val="32"/>
        </w:rPr>
        <w:t>的计算。</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每月给青年母牛称重一次是最佳的，但是一旦精确饲喂系统是稳定的，只要你能定期观察青年母牛的体况，减少称重频度也是可行的。</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最好是给所有青年母牛称重。然而，在那些青年母牛数量较多的奶牛场，给所有青年母牛称重可能是不现实的。在这种情况下，只要称牛圈中有代表性的一组</w:t>
      </w:r>
      <w:r w:rsidRPr="00276F71">
        <w:rPr>
          <w:rFonts w:ascii="Arial" w:eastAsia="宋体" w:hAnsi="Arial" w:cs="Arial"/>
          <w:color w:val="2B2B2B"/>
          <w:kern w:val="0"/>
          <w:sz w:val="32"/>
          <w:szCs w:val="32"/>
        </w:rPr>
        <w:t>(10%~20%)</w:t>
      </w:r>
      <w:r w:rsidRPr="00276F71">
        <w:rPr>
          <w:rFonts w:ascii="Arial" w:eastAsia="宋体" w:hAnsi="Arial" w:cs="Arial"/>
          <w:color w:val="2B2B2B"/>
          <w:kern w:val="0"/>
          <w:sz w:val="32"/>
          <w:szCs w:val="32"/>
        </w:rPr>
        <w:t>青年母牛就足够了。这一点很重要，确保这组青年母牛可代表整个青年母牛群，并且每次称的是相同的青年母牛。</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color w:val="2B2B2B"/>
          <w:kern w:val="0"/>
          <w:sz w:val="32"/>
          <w:szCs w:val="32"/>
        </w:rPr>
        <w:t>●</w:t>
      </w:r>
      <w:r w:rsidRPr="00276F71">
        <w:rPr>
          <w:rFonts w:ascii="Arial" w:eastAsia="宋体" w:hAnsi="Arial" w:cs="Arial"/>
          <w:color w:val="2B2B2B"/>
          <w:kern w:val="0"/>
          <w:sz w:val="32"/>
          <w:szCs w:val="32"/>
        </w:rPr>
        <w:t>监测个体青年母牛和群体增重，并与基准体重对照，视需要改变管理，特别是饲料采食量策略。</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w:t>
      </w:r>
      <w:r w:rsidRPr="00276F71">
        <w:rPr>
          <w:rFonts w:ascii="Arial" w:eastAsia="宋体" w:hAnsi="Arial" w:cs="Arial"/>
          <w:b/>
          <w:bCs/>
          <w:color w:val="2B2B2B"/>
          <w:kern w:val="0"/>
          <w:sz w:val="32"/>
          <w:szCs w:val="32"/>
        </w:rPr>
        <w:t xml:space="preserve">　牛群大小</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lastRenderedPageBreak/>
        <w:t xml:space="preserve">　　在组群饲养的青年母牛设备中，尽量减少各个组中青年母牛的体重和日龄差异是重要的，这在精确饲喂体系中仍然重要。通常，</w:t>
      </w:r>
      <w:r w:rsidRPr="00276F71">
        <w:rPr>
          <w:rFonts w:ascii="Arial" w:eastAsia="宋体" w:hAnsi="Arial" w:cs="Arial"/>
          <w:color w:val="2B2B2B"/>
          <w:kern w:val="0"/>
          <w:sz w:val="32"/>
          <w:szCs w:val="32"/>
        </w:rPr>
        <w:t>4</w:t>
      </w:r>
      <w:r w:rsidRPr="00276F71">
        <w:rPr>
          <w:rFonts w:ascii="Arial" w:eastAsia="宋体" w:hAnsi="Arial" w:cs="Arial"/>
          <w:color w:val="2B2B2B"/>
          <w:kern w:val="0"/>
          <w:sz w:val="32"/>
          <w:szCs w:val="32"/>
        </w:rPr>
        <w:t>月龄以上的青年母牛应该与其它月龄尽可能接近的青年母牛关在一起饲养，在组内，体重相差通常在</w:t>
      </w:r>
      <w:r w:rsidRPr="00276F71">
        <w:rPr>
          <w:rFonts w:ascii="Arial" w:eastAsia="宋体" w:hAnsi="Arial" w:cs="Arial"/>
          <w:color w:val="2B2B2B"/>
          <w:kern w:val="0"/>
          <w:sz w:val="32"/>
          <w:szCs w:val="32"/>
        </w:rPr>
        <w:t>90 kg</w:t>
      </w:r>
      <w:r w:rsidRPr="00276F71">
        <w:rPr>
          <w:rFonts w:ascii="Arial" w:eastAsia="宋体" w:hAnsi="Arial" w:cs="Arial"/>
          <w:color w:val="2B2B2B"/>
          <w:kern w:val="0"/>
          <w:sz w:val="32"/>
          <w:szCs w:val="32"/>
        </w:rPr>
        <w:t>之内。这往往意味着组内青年母牛的月龄最多相差</w:t>
      </w:r>
      <w:r w:rsidRPr="00276F71">
        <w:rPr>
          <w:rFonts w:ascii="Arial" w:eastAsia="宋体" w:hAnsi="Arial" w:cs="Arial"/>
          <w:color w:val="2B2B2B"/>
          <w:kern w:val="0"/>
          <w:sz w:val="32"/>
          <w:szCs w:val="32"/>
        </w:rPr>
        <w:t>2~4</w:t>
      </w:r>
      <w:r w:rsidRPr="00276F71">
        <w:rPr>
          <w:rFonts w:ascii="Arial" w:eastAsia="宋体" w:hAnsi="Arial" w:cs="Arial"/>
          <w:color w:val="2B2B2B"/>
          <w:kern w:val="0"/>
          <w:sz w:val="32"/>
          <w:szCs w:val="32"/>
        </w:rPr>
        <w:t>月龄。配种后，在同组内，体重差异可增加到</w:t>
      </w:r>
      <w:r w:rsidRPr="00276F71">
        <w:rPr>
          <w:rFonts w:ascii="Arial" w:eastAsia="宋体" w:hAnsi="Arial" w:cs="Arial"/>
          <w:color w:val="2B2B2B"/>
          <w:kern w:val="0"/>
          <w:sz w:val="32"/>
          <w:szCs w:val="32"/>
        </w:rPr>
        <w:t>136kg</w:t>
      </w:r>
      <w:r w:rsidRPr="00276F71">
        <w:rPr>
          <w:rFonts w:ascii="Arial" w:eastAsia="宋体" w:hAnsi="Arial" w:cs="Arial"/>
          <w:color w:val="2B2B2B"/>
          <w:kern w:val="0"/>
          <w:sz w:val="32"/>
          <w:szCs w:val="32"/>
        </w:rPr>
        <w:t>。</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在精确饲喂体系中，从</w:t>
      </w:r>
      <w:r w:rsidRPr="00276F71">
        <w:rPr>
          <w:rFonts w:ascii="Arial" w:eastAsia="宋体" w:hAnsi="Arial" w:cs="Arial"/>
          <w:color w:val="2B2B2B"/>
          <w:kern w:val="0"/>
          <w:sz w:val="32"/>
          <w:szCs w:val="32"/>
        </w:rPr>
        <w:t>4</w:t>
      </w:r>
      <w:r w:rsidRPr="00276F71">
        <w:rPr>
          <w:rFonts w:ascii="Arial" w:eastAsia="宋体" w:hAnsi="Arial" w:cs="Arial"/>
          <w:color w:val="2B2B2B"/>
          <w:kern w:val="0"/>
          <w:sz w:val="32"/>
          <w:szCs w:val="32"/>
        </w:rPr>
        <w:t>月龄到产犊前或</w:t>
      </w:r>
      <w:r w:rsidRPr="00276F71">
        <w:rPr>
          <w:rFonts w:ascii="Arial" w:eastAsia="宋体" w:hAnsi="Arial" w:cs="Arial"/>
          <w:color w:val="2B2B2B"/>
          <w:kern w:val="0"/>
          <w:sz w:val="32"/>
          <w:szCs w:val="32"/>
        </w:rPr>
        <w:t>22</w:t>
      </w:r>
      <w:r w:rsidRPr="00276F71">
        <w:rPr>
          <w:rFonts w:ascii="Arial" w:eastAsia="宋体" w:hAnsi="Arial" w:cs="Arial"/>
          <w:color w:val="2B2B2B"/>
          <w:kern w:val="0"/>
          <w:sz w:val="32"/>
          <w:szCs w:val="32"/>
        </w:rPr>
        <w:t>月龄，每头青年母牛需要</w:t>
      </w:r>
      <w:r w:rsidRPr="00276F71">
        <w:rPr>
          <w:rFonts w:ascii="Arial" w:eastAsia="宋体" w:hAnsi="Arial" w:cs="Arial"/>
          <w:color w:val="2B2B2B"/>
          <w:kern w:val="0"/>
          <w:sz w:val="32"/>
          <w:szCs w:val="32"/>
        </w:rPr>
        <w:t>36~61</w:t>
      </w:r>
      <w:r w:rsidRPr="00276F71">
        <w:rPr>
          <w:rFonts w:ascii="Arial" w:eastAsia="宋体" w:hAnsi="Arial" w:cs="Arial"/>
          <w:color w:val="2B2B2B"/>
          <w:kern w:val="0"/>
          <w:sz w:val="32"/>
          <w:szCs w:val="32"/>
        </w:rPr>
        <w:t>厘米饲槽空间。精确饲喂的青年母牛一天中不是任何时间都可采食饲料，因此一个牛圈中的所有青年母牛必须同时接触到饲槽。当饲槽空间受到限制时，过于暴躁好斗和胆小的青年母牛易受营养过度或营养不良的影响。如果精确饲喂高饲草日粮的青年母牛每天</w:t>
      </w:r>
      <w:r w:rsidRPr="00276F71">
        <w:rPr>
          <w:rFonts w:ascii="Arial" w:eastAsia="宋体" w:hAnsi="Arial" w:cs="Arial"/>
          <w:color w:val="2B2B2B"/>
          <w:kern w:val="0"/>
          <w:sz w:val="32"/>
          <w:szCs w:val="32"/>
        </w:rPr>
        <w:t>12~16</w:t>
      </w:r>
      <w:r w:rsidRPr="00276F71">
        <w:rPr>
          <w:rFonts w:ascii="Arial" w:eastAsia="宋体" w:hAnsi="Arial" w:cs="Arial"/>
          <w:color w:val="2B2B2B"/>
          <w:kern w:val="0"/>
          <w:sz w:val="32"/>
          <w:szCs w:val="32"/>
        </w:rPr>
        <w:t>小时能吃到料，饲槽空间通常就不是一个问题。如果青年母牛饲喂</w:t>
      </w:r>
      <w:r w:rsidRPr="00276F71">
        <w:rPr>
          <w:rFonts w:ascii="Arial" w:eastAsia="宋体" w:hAnsi="Arial" w:cs="Arial"/>
          <w:color w:val="2B2B2B"/>
          <w:kern w:val="0"/>
          <w:sz w:val="32"/>
          <w:szCs w:val="32"/>
        </w:rPr>
        <w:t>30%~40%</w:t>
      </w:r>
      <w:r w:rsidRPr="00276F71">
        <w:rPr>
          <w:rFonts w:ascii="Arial" w:eastAsia="宋体" w:hAnsi="Arial" w:cs="Arial"/>
          <w:color w:val="2B2B2B"/>
          <w:kern w:val="0"/>
          <w:sz w:val="32"/>
          <w:szCs w:val="32"/>
        </w:rPr>
        <w:t>精料日粮，能吃到料的时间每天限制至</w:t>
      </w:r>
      <w:r w:rsidRPr="00276F71">
        <w:rPr>
          <w:rFonts w:ascii="Arial" w:eastAsia="宋体" w:hAnsi="Arial" w:cs="Arial"/>
          <w:color w:val="2B2B2B"/>
          <w:kern w:val="0"/>
          <w:sz w:val="32"/>
          <w:szCs w:val="32"/>
        </w:rPr>
        <w:t>6~8</w:t>
      </w:r>
      <w:r w:rsidRPr="00276F71">
        <w:rPr>
          <w:rFonts w:ascii="Arial" w:eastAsia="宋体" w:hAnsi="Arial" w:cs="Arial"/>
          <w:color w:val="2B2B2B"/>
          <w:kern w:val="0"/>
          <w:sz w:val="32"/>
          <w:szCs w:val="32"/>
        </w:rPr>
        <w:t>小时，饲槽空间就会成为一个问题。采用这种饲喂系统时，运用常识观察是否所有青年母牛都感到满意，并且均匀地生长。</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饲槽空间受到限制时，可采用</w:t>
      </w:r>
      <w:r w:rsidRPr="00276F71">
        <w:rPr>
          <w:rFonts w:ascii="Arial" w:eastAsia="宋体" w:hAnsi="Arial" w:cs="Arial"/>
          <w:color w:val="2B2B2B"/>
          <w:kern w:val="0"/>
          <w:sz w:val="32"/>
          <w:szCs w:val="32"/>
        </w:rPr>
        <w:t>2</w:t>
      </w:r>
      <w:r w:rsidRPr="00276F71">
        <w:rPr>
          <w:rFonts w:ascii="Arial" w:eastAsia="宋体" w:hAnsi="Arial" w:cs="Arial"/>
          <w:color w:val="2B2B2B"/>
          <w:kern w:val="0"/>
          <w:sz w:val="32"/>
          <w:szCs w:val="32"/>
        </w:rPr>
        <w:t>种策略：一是对有相似体重的青年母牛进行组群。二是在饲槽提供阻碍牛只自由运动的装置，例如颈枷或近距离安装的隔离柱。这种方法可能在某种程度上是有效的，但是不是完全有效。不推荐每天饲</w:t>
      </w:r>
      <w:r w:rsidRPr="00276F71">
        <w:rPr>
          <w:rFonts w:ascii="Arial" w:eastAsia="宋体" w:hAnsi="Arial" w:cs="Arial"/>
          <w:color w:val="2B2B2B"/>
          <w:kern w:val="0"/>
          <w:sz w:val="32"/>
          <w:szCs w:val="32"/>
        </w:rPr>
        <w:lastRenderedPageBreak/>
        <w:t>喂</w:t>
      </w:r>
      <w:r w:rsidRPr="00276F71">
        <w:rPr>
          <w:rFonts w:ascii="Arial" w:eastAsia="宋体" w:hAnsi="Arial" w:cs="Arial"/>
          <w:color w:val="2B2B2B"/>
          <w:kern w:val="0"/>
          <w:sz w:val="32"/>
          <w:szCs w:val="32"/>
        </w:rPr>
        <w:t>2</w:t>
      </w:r>
      <w:r w:rsidRPr="00276F71">
        <w:rPr>
          <w:rFonts w:ascii="Arial" w:eastAsia="宋体" w:hAnsi="Arial" w:cs="Arial"/>
          <w:color w:val="2B2B2B"/>
          <w:kern w:val="0"/>
          <w:sz w:val="32"/>
          <w:szCs w:val="32"/>
        </w:rPr>
        <w:t>次，因为业已表明这种方法增加同一牛圈青年母牛的竞争和增重的变化性。</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刚开始贯彻精确饲喂时，就在饲喂前，青年母牛可能会哞叫，接近下次饲喂时，其频率和程度增加。经验是，这种行为会在贯彻精确饲喂策略第</w:t>
      </w:r>
      <w:r w:rsidRPr="00276F71">
        <w:rPr>
          <w:rFonts w:ascii="Arial" w:eastAsia="宋体" w:hAnsi="Arial" w:cs="Arial"/>
          <w:color w:val="2B2B2B"/>
          <w:kern w:val="0"/>
          <w:sz w:val="32"/>
          <w:szCs w:val="32"/>
        </w:rPr>
        <w:t>10~14</w:t>
      </w:r>
      <w:r w:rsidRPr="00276F71">
        <w:rPr>
          <w:rFonts w:ascii="Arial" w:eastAsia="宋体" w:hAnsi="Arial" w:cs="Arial"/>
          <w:color w:val="2B2B2B"/>
          <w:kern w:val="0"/>
          <w:sz w:val="32"/>
          <w:szCs w:val="32"/>
        </w:rPr>
        <w:t>天减少和几乎消失。这不像断奶时犊牛从牛奶的过渡。只要青年母牛是根据奶牛场的</w:t>
      </w:r>
      <w:r w:rsidRPr="00276F71">
        <w:rPr>
          <w:rFonts w:ascii="Arial" w:eastAsia="宋体" w:hAnsi="Arial" w:cs="Arial"/>
          <w:color w:val="2B2B2B"/>
          <w:kern w:val="0"/>
          <w:sz w:val="32"/>
          <w:szCs w:val="32"/>
        </w:rPr>
        <w:t xml:space="preserve">ADG </w:t>
      </w:r>
      <w:r w:rsidRPr="00276F71">
        <w:rPr>
          <w:rFonts w:ascii="Arial" w:eastAsia="宋体" w:hAnsi="Arial" w:cs="Arial"/>
          <w:color w:val="2B2B2B"/>
          <w:kern w:val="0"/>
          <w:sz w:val="32"/>
          <w:szCs w:val="32"/>
        </w:rPr>
        <w:t>目标生长，并获得恰当平衡的日粮，就表明饲喂足够了。</w:t>
      </w:r>
    </w:p>
    <w:p w:rsidR="00276F71" w:rsidRPr="00276F71" w:rsidRDefault="00276F71" w:rsidP="00276F7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276F71">
        <w:rPr>
          <w:rFonts w:ascii="Arial" w:eastAsia="宋体" w:hAnsi="Arial" w:cs="Arial"/>
          <w:color w:val="2B2B2B"/>
          <w:kern w:val="0"/>
          <w:sz w:val="32"/>
          <w:szCs w:val="32"/>
        </w:rPr>
        <w:t xml:space="preserve">　　精确饲喂青年母牛直到产犊前</w:t>
      </w:r>
      <w:r w:rsidRPr="00276F71">
        <w:rPr>
          <w:rFonts w:ascii="Arial" w:eastAsia="宋体" w:hAnsi="Arial" w:cs="Arial"/>
          <w:color w:val="2B2B2B"/>
          <w:kern w:val="0"/>
          <w:sz w:val="32"/>
          <w:szCs w:val="32"/>
        </w:rPr>
        <w:t>30~45</w:t>
      </w:r>
      <w:r w:rsidRPr="00276F71">
        <w:rPr>
          <w:rFonts w:ascii="Arial" w:eastAsia="宋体" w:hAnsi="Arial" w:cs="Arial"/>
          <w:color w:val="2B2B2B"/>
          <w:kern w:val="0"/>
          <w:sz w:val="32"/>
          <w:szCs w:val="32"/>
        </w:rPr>
        <w:t>天，对犊牛初生重、难产、代谢问题、泌乳早期干物质采食量、第一次泌乳产奶量无负面影响。与常规饲喂的青年母牛相比，在妊娠晚期采用这种饲喂系统，瘤胃和肠道容量的任何变化都会快速地发生，不会限制产后青年母牛的干物质采食量，因此，这些青年母牛的牛奶产量是相同的。</w:t>
      </w:r>
    </w:p>
    <w:p w:rsidR="00276F71" w:rsidRPr="00785311" w:rsidRDefault="00276F71" w:rsidP="00276F71">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276F71" w:rsidRPr="00785311" w:rsidRDefault="00276F71" w:rsidP="00276F71">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276F71" w:rsidRPr="00785311" w:rsidRDefault="00276F71" w:rsidP="00276F71">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76F71" w:rsidRPr="00917A63" w:rsidRDefault="00371164" w:rsidP="00276F71">
      <w:pPr>
        <w:pStyle w:val="a5"/>
        <w:ind w:firstLine="480"/>
        <w:rPr>
          <w:b/>
          <w:color w:val="000000"/>
        </w:rPr>
      </w:pPr>
      <w:hyperlink r:id="rId7" w:history="1">
        <w:r w:rsidR="00276F71" w:rsidRPr="00917A63">
          <w:rPr>
            <w:rStyle w:val="a7"/>
            <w:rFonts w:hint="eastAsia"/>
            <w:b/>
          </w:rPr>
          <w:t>下载：智能二代(Genetic Algorithm)饲料配方软件(猪、鸡饲料配方计算)</w:t>
        </w:r>
      </w:hyperlink>
    </w:p>
    <w:p w:rsidR="00276F71" w:rsidRDefault="00276F71" w:rsidP="00276F71">
      <w:pPr>
        <w:jc w:val="center"/>
        <w:rPr>
          <w:b/>
          <w:color w:val="FF0000"/>
          <w:sz w:val="32"/>
          <w:szCs w:val="32"/>
        </w:rPr>
      </w:pPr>
    </w:p>
    <w:p w:rsidR="00276F71" w:rsidRPr="004F7A8F" w:rsidRDefault="00371164" w:rsidP="00276F71">
      <w:pPr>
        <w:jc w:val="center"/>
        <w:rPr>
          <w:b/>
          <w:color w:val="FF0000"/>
          <w:sz w:val="32"/>
          <w:szCs w:val="32"/>
        </w:rPr>
      </w:pPr>
      <w:hyperlink r:id="rId8" w:history="1">
        <w:r w:rsidR="00276F71" w:rsidRPr="004F7A8F">
          <w:rPr>
            <w:rStyle w:val="a7"/>
            <w:rFonts w:hint="eastAsia"/>
            <w:b/>
            <w:color w:val="FF0000"/>
            <w:sz w:val="32"/>
            <w:szCs w:val="32"/>
          </w:rPr>
          <w:t>下载</w:t>
        </w:r>
        <w:r w:rsidR="00276F71" w:rsidRPr="004F7A8F">
          <w:rPr>
            <w:rStyle w:val="a7"/>
            <w:rFonts w:hint="eastAsia"/>
            <w:b/>
            <w:color w:val="FF0000"/>
            <w:sz w:val="32"/>
            <w:szCs w:val="32"/>
          </w:rPr>
          <w:t>1</w:t>
        </w:r>
        <w:r w:rsidR="00276F71" w:rsidRPr="004F7A8F">
          <w:rPr>
            <w:rStyle w:val="a7"/>
            <w:rFonts w:hint="eastAsia"/>
            <w:b/>
            <w:color w:val="FF0000"/>
            <w:sz w:val="32"/>
            <w:szCs w:val="32"/>
          </w:rPr>
          <w:t>：</w:t>
        </w:r>
        <w:r w:rsidR="00276F71" w:rsidRPr="004F7A8F">
          <w:rPr>
            <w:rStyle w:val="a7"/>
            <w:rFonts w:hint="eastAsia"/>
            <w:b/>
            <w:color w:val="FF0000"/>
            <w:sz w:val="32"/>
            <w:szCs w:val="32"/>
          </w:rPr>
          <w:t xml:space="preserve">Feed mix </w:t>
        </w:r>
        <w:r w:rsidR="00276F71" w:rsidRPr="004F7A8F">
          <w:rPr>
            <w:rStyle w:val="a7"/>
            <w:rFonts w:hint="eastAsia"/>
            <w:b/>
            <w:color w:val="FF0000"/>
            <w:sz w:val="32"/>
            <w:szCs w:val="32"/>
          </w:rPr>
          <w:t>反刍营养百分百</w:t>
        </w:r>
        <w:r w:rsidR="00276F71" w:rsidRPr="004F7A8F">
          <w:rPr>
            <w:rStyle w:val="a7"/>
            <w:rFonts w:hint="eastAsia"/>
            <w:b/>
            <w:color w:val="FF0000"/>
            <w:sz w:val="32"/>
            <w:szCs w:val="32"/>
          </w:rPr>
          <w:t>-</w:t>
        </w:r>
        <w:r w:rsidR="00276F71" w:rsidRPr="004F7A8F">
          <w:rPr>
            <w:rStyle w:val="a7"/>
            <w:rFonts w:hint="eastAsia"/>
            <w:b/>
            <w:color w:val="FF0000"/>
            <w:sz w:val="32"/>
            <w:szCs w:val="32"/>
          </w:rPr>
          <w:t>饲料配方软件</w:t>
        </w:r>
        <w:r w:rsidR="00276F71" w:rsidRPr="004F7A8F">
          <w:rPr>
            <w:rStyle w:val="a7"/>
            <w:rFonts w:hint="eastAsia"/>
            <w:b/>
            <w:color w:val="FF0000"/>
            <w:sz w:val="32"/>
            <w:szCs w:val="32"/>
          </w:rPr>
          <w:t>(</w:t>
        </w:r>
        <w:r w:rsidR="00276F71" w:rsidRPr="004F7A8F">
          <w:rPr>
            <w:rStyle w:val="a7"/>
            <w:rFonts w:hint="eastAsia"/>
            <w:b/>
            <w:color w:val="FF0000"/>
            <w:sz w:val="32"/>
            <w:szCs w:val="32"/>
          </w:rPr>
          <w:t>第四版</w:t>
        </w:r>
        <w:r w:rsidR="00276F71" w:rsidRPr="004F7A8F">
          <w:rPr>
            <w:rStyle w:val="a7"/>
            <w:rFonts w:hint="eastAsia"/>
            <w:b/>
            <w:color w:val="FF0000"/>
            <w:sz w:val="32"/>
            <w:szCs w:val="32"/>
          </w:rPr>
          <w:t>)</w:t>
        </w:r>
      </w:hyperlink>
    </w:p>
    <w:p w:rsidR="00276F71" w:rsidRPr="004F7A8F" w:rsidRDefault="00276F71" w:rsidP="00276F71">
      <w:pPr>
        <w:jc w:val="center"/>
        <w:rPr>
          <w:b/>
          <w:color w:val="FF0000"/>
          <w:sz w:val="32"/>
          <w:szCs w:val="32"/>
        </w:rPr>
      </w:pPr>
      <w:r>
        <w:rPr>
          <w:rFonts w:hint="eastAsia"/>
          <w:b/>
          <w:color w:val="FF0000"/>
          <w:sz w:val="32"/>
          <w:szCs w:val="32"/>
        </w:rPr>
        <w:t>QQ:1400072515</w:t>
      </w:r>
    </w:p>
    <w:p w:rsidR="00276F71" w:rsidRPr="004F7A8F" w:rsidRDefault="00371164" w:rsidP="00276F71">
      <w:pPr>
        <w:jc w:val="center"/>
        <w:rPr>
          <w:b/>
          <w:color w:val="FF0000"/>
          <w:sz w:val="32"/>
          <w:szCs w:val="32"/>
        </w:rPr>
      </w:pPr>
      <w:hyperlink r:id="rId9" w:history="1">
        <w:r w:rsidR="00276F71" w:rsidRPr="004F7A8F">
          <w:rPr>
            <w:rStyle w:val="a7"/>
            <w:rFonts w:hint="eastAsia"/>
            <w:b/>
            <w:color w:val="FF0000"/>
            <w:sz w:val="32"/>
            <w:szCs w:val="32"/>
          </w:rPr>
          <w:t>下载</w:t>
        </w:r>
        <w:r w:rsidR="00276F71" w:rsidRPr="004F7A8F">
          <w:rPr>
            <w:rStyle w:val="a7"/>
            <w:rFonts w:hint="eastAsia"/>
            <w:b/>
            <w:color w:val="FF0000"/>
            <w:sz w:val="32"/>
            <w:szCs w:val="32"/>
          </w:rPr>
          <w:t>2</w:t>
        </w:r>
        <w:r w:rsidR="00276F71" w:rsidRPr="004F7A8F">
          <w:rPr>
            <w:rStyle w:val="a7"/>
            <w:rFonts w:hint="eastAsia"/>
            <w:b/>
            <w:color w:val="FF0000"/>
            <w:sz w:val="32"/>
            <w:szCs w:val="32"/>
          </w:rPr>
          <w:t>：</w:t>
        </w:r>
        <w:r w:rsidR="00276F71" w:rsidRPr="004F7A8F">
          <w:rPr>
            <w:rStyle w:val="a7"/>
            <w:rFonts w:hint="eastAsia"/>
            <w:b/>
            <w:color w:val="FF0000"/>
            <w:sz w:val="32"/>
            <w:szCs w:val="32"/>
          </w:rPr>
          <w:t xml:space="preserve">Feed mix </w:t>
        </w:r>
        <w:r w:rsidR="00276F71" w:rsidRPr="004F7A8F">
          <w:rPr>
            <w:rStyle w:val="a7"/>
            <w:rFonts w:hint="eastAsia"/>
            <w:b/>
            <w:color w:val="FF0000"/>
            <w:sz w:val="32"/>
            <w:szCs w:val="32"/>
          </w:rPr>
          <w:t>反刍营养百分百</w:t>
        </w:r>
        <w:r w:rsidR="00276F71" w:rsidRPr="004F7A8F">
          <w:rPr>
            <w:rStyle w:val="a7"/>
            <w:rFonts w:hint="eastAsia"/>
            <w:b/>
            <w:color w:val="FF0000"/>
            <w:sz w:val="32"/>
            <w:szCs w:val="32"/>
          </w:rPr>
          <w:t>-</w:t>
        </w:r>
        <w:r w:rsidR="00276F71" w:rsidRPr="004F7A8F">
          <w:rPr>
            <w:rStyle w:val="a7"/>
            <w:rFonts w:hint="eastAsia"/>
            <w:b/>
            <w:color w:val="FF0000"/>
            <w:sz w:val="32"/>
            <w:szCs w:val="32"/>
          </w:rPr>
          <w:t>饲料配方软件</w:t>
        </w:r>
        <w:r w:rsidR="00276F71" w:rsidRPr="004F7A8F">
          <w:rPr>
            <w:rStyle w:val="a7"/>
            <w:rFonts w:hint="eastAsia"/>
            <w:b/>
            <w:color w:val="FF0000"/>
            <w:sz w:val="32"/>
            <w:szCs w:val="32"/>
          </w:rPr>
          <w:t>(</w:t>
        </w:r>
        <w:r w:rsidR="00276F71" w:rsidRPr="004F7A8F">
          <w:rPr>
            <w:rStyle w:val="a7"/>
            <w:rFonts w:hint="eastAsia"/>
            <w:b/>
            <w:color w:val="FF0000"/>
            <w:sz w:val="32"/>
            <w:szCs w:val="32"/>
          </w:rPr>
          <w:t>第四版</w:t>
        </w:r>
        <w:r w:rsidR="00276F71" w:rsidRPr="004F7A8F">
          <w:rPr>
            <w:rStyle w:val="a7"/>
            <w:rFonts w:hint="eastAsia"/>
            <w:b/>
            <w:color w:val="FF0000"/>
            <w:sz w:val="32"/>
            <w:szCs w:val="32"/>
          </w:rPr>
          <w:t>)</w:t>
        </w:r>
      </w:hyperlink>
    </w:p>
    <w:p w:rsidR="005C7457" w:rsidRDefault="005C7457" w:rsidP="005C7457">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371164" w:rsidRPr="005C7457" w:rsidRDefault="00371164"/>
    <w:sectPr w:rsidR="00371164" w:rsidRPr="005C7457" w:rsidSect="00371164">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6CC" w:rsidRDefault="000406CC" w:rsidP="00276F71">
      <w:r>
        <w:separator/>
      </w:r>
    </w:p>
  </w:endnote>
  <w:endnote w:type="continuationSeparator" w:id="1">
    <w:p w:rsidR="000406CC" w:rsidRDefault="000406CC" w:rsidP="00276F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6CC" w:rsidRDefault="000406CC" w:rsidP="00276F71">
      <w:r>
        <w:separator/>
      </w:r>
    </w:p>
  </w:footnote>
  <w:footnote w:type="continuationSeparator" w:id="1">
    <w:p w:rsidR="000406CC" w:rsidRDefault="000406CC" w:rsidP="00276F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F71" w:rsidRDefault="00276F71">
    <w:pPr>
      <w:pStyle w:val="a3"/>
    </w:pPr>
    <w:r w:rsidRPr="00276F71">
      <w:rPr>
        <w:rFonts w:hint="eastAsia"/>
      </w:rPr>
      <w:t xml:space="preserve">Feed mix </w:t>
    </w:r>
    <w:r w:rsidRPr="00276F71">
      <w:rPr>
        <w:rFonts w:hint="eastAsia"/>
      </w:rPr>
      <w:t>反刍营养百分百</w:t>
    </w:r>
    <w:r w:rsidRPr="00276F71">
      <w:rPr>
        <w:rFonts w:hint="eastAsia"/>
      </w:rPr>
      <w:t>-</w:t>
    </w:r>
    <w:r w:rsidRPr="00276F71">
      <w:rPr>
        <w:rFonts w:hint="eastAsia"/>
      </w:rPr>
      <w:t>饲料配方软件</w:t>
    </w:r>
    <w:r w:rsidRPr="00276F71">
      <w:rPr>
        <w:rFonts w:hint="eastAsia"/>
      </w:rPr>
      <w:t>(</w:t>
    </w:r>
    <w:r w:rsidRPr="00276F71">
      <w:rPr>
        <w:rFonts w:hint="eastAsia"/>
      </w:rPr>
      <w:t>奶牛、肉牛、肉羊饲料日粮</w:t>
    </w:r>
    <w:r w:rsidRPr="00276F71">
      <w:rPr>
        <w:rFonts w:hint="eastAsia"/>
      </w:rPr>
      <w:t>TMR</w:t>
    </w:r>
    <w:r w:rsidRPr="00276F71">
      <w:rPr>
        <w:rFonts w:hint="eastAsia"/>
      </w:rPr>
      <w:t>计算</w:t>
    </w:r>
    <w:r w:rsidRPr="00276F71">
      <w:rPr>
        <w:rFonts w:hint="eastAsia"/>
      </w:rPr>
      <w:t>)QQ</w:t>
    </w:r>
    <w:r w:rsidRPr="00276F71">
      <w:rPr>
        <w:rFonts w:hint="eastAsia"/>
      </w:rPr>
      <w:t>：</w:t>
    </w:r>
    <w:r w:rsidRPr="00276F71">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6F71"/>
    <w:rsid w:val="000406CC"/>
    <w:rsid w:val="00276F71"/>
    <w:rsid w:val="00371164"/>
    <w:rsid w:val="005C74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F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6F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76F71"/>
    <w:rPr>
      <w:sz w:val="18"/>
      <w:szCs w:val="18"/>
    </w:rPr>
  </w:style>
  <w:style w:type="paragraph" w:styleId="a4">
    <w:name w:val="footer"/>
    <w:basedOn w:val="a"/>
    <w:link w:val="Char0"/>
    <w:uiPriority w:val="99"/>
    <w:semiHidden/>
    <w:unhideWhenUsed/>
    <w:rsid w:val="00276F7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76F71"/>
    <w:rPr>
      <w:sz w:val="18"/>
      <w:szCs w:val="18"/>
    </w:rPr>
  </w:style>
  <w:style w:type="paragraph" w:styleId="a5">
    <w:name w:val="Normal (Web)"/>
    <w:basedOn w:val="a"/>
    <w:uiPriority w:val="99"/>
    <w:rsid w:val="00276F7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76F71"/>
    <w:rPr>
      <w:b/>
      <w:bCs/>
    </w:rPr>
  </w:style>
  <w:style w:type="character" w:styleId="a7">
    <w:name w:val="Hyperlink"/>
    <w:basedOn w:val="a0"/>
    <w:rsid w:val="00276F71"/>
    <w:rPr>
      <w:color w:val="0000FF"/>
      <w:u w:val="single"/>
    </w:rPr>
  </w:style>
</w:styles>
</file>

<file path=word/webSettings.xml><?xml version="1.0" encoding="utf-8"?>
<w:webSettings xmlns:r="http://schemas.openxmlformats.org/officeDocument/2006/relationships" xmlns:w="http://schemas.openxmlformats.org/wordprocessingml/2006/main">
  <w:divs>
    <w:div w:id="197324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880</Words>
  <Characters>5022</Characters>
  <Application>Microsoft Office Word</Application>
  <DocSecurity>0</DocSecurity>
  <Lines>41</Lines>
  <Paragraphs>11</Paragraphs>
  <ScaleCrop>false</ScaleCrop>
  <Company/>
  <LinksUpToDate>false</LinksUpToDate>
  <CharactersWithSpaces>5891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cp:revision>
  <dcterms:created xsi:type="dcterms:W3CDTF">2015-01-04T12:48:00Z</dcterms:created>
  <dcterms:modified xsi:type="dcterms:W3CDTF">2015-01-06T01:49:00Z</dcterms:modified>
</cp:coreProperties>
</file>