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660" w:rsidRPr="004A7392" w:rsidRDefault="008F7660" w:rsidP="008F7660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4A7392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奶牛场酮病风险评估及防控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目前，兽医面临的成母牛问题无非两个，一个是传染病，另一个是围产期疾病。公认的围产期死淘率在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30%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以上，再细化就是在产后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60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天时达到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25%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以上，所以牛场每年的淘汰率基本上都损失在这个阶段。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我个人认为除去传染病之外，围产期疾病有两条主线，第一条主线是产后瘫痪，产后瘫痪会影响真胃变位、乳房水肿、乳房炎等问题，还包括胎衣不下，凡是和离子有关系的疾病基本都与产后瘫痪有关系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另外一条最主要的主线就是酮病，因为酮病是一个能量缺乏性的疾病，所以所有围产期和能量缺乏有关的疾病，包括其他的继发性代谢性疾病，都可归于酮病，酮病对于围产期真正的影响大约占百分之六十。因此很多外国专家讲干奶期要提高干物质采食量，新产牛提高干物质采食量、提高单产等，这些东西的基础全在酮病上，特别是亚临床酮病，像真胃变位、胎衣不下、子宫炎等很多问题都是酮病继发的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酮病及亚临床酮病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酮病，也称为醋酮血症，是高产奶牛常见的代谢性疾病，以产奶下降、体重减轻、食欲不振为主要表现，有时不表现任何症状。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近几年酮病问题一直困扰着牛场，实际上国外同行也承认缺少相应的检测手段，所以说控制手段是不缺乏的，缺乏的是检测和评价手段。高产牛群中，美国临床性酮病的发病率约为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4%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，亚临床酮病的发病率可达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10%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30%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，甚至更高。康奈尔大学认为，可将亚临床酮病发病率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15%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作为一个警戒线，临床型酮病的发病率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10%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作为一个严重的警戒线，也就是如果临床性酮病超过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10%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，或亚临床酮病超过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15%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，证明这个牛场群发性酮病的问题很严重。从上世纪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90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年代起，酮病已成为影响美国奶牛场最重要的营养代谢性疾病之一，其关注度高于瘤胃酸中毒和产后瘫痪。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我们往往关注了临床性酮病，而忽视了亚临床酮病。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2012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年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月，我们选取国内不同规模的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42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个牛场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存栏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500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12000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头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，进行产后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70d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的新产牛血液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β-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羟丁酸检测。结果显示，亚临床酮病的发病率为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16.98%(91/536)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，临床性酮病的发病率为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6.90%(37/536)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。这些都高于美国的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15%(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亚临床型警戒线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和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4%(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临床型发病率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酮病的发病机理及病因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酮病的发生与奶牛能量负平衡及体脂动员有关，常见于妊娠最后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周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少发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和泌乳早期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产后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70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天随时可能发生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，产后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70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天后几乎没有发生的可能。头胎牛和经产牛的发病率基本相同，双胎奶牛更易发病。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实际上很难通过临床症状来判定酮病，所以要靠检测。亚临床酮病指泌乳前几周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临床表现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正常的奶牛，其血浆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β-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羟丁酸</w:t>
      </w:r>
      <w:r w:rsidRPr="008F7660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≧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1.4mmol/L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酮病的本质是葡萄糖缺乏或血液酮体的原发性升高，其原因可分为三种情况。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一是产前脂肪肝。脂肪肝综合征的肥胖牛，最严重的产后三天立即发病和死亡，我们通常称为妊娠毒血症。为什么说脂肪肝的牛容易得酮病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就是因为脂肪肝的牛在能量正负平衡的转化过程中，能量负平衡的严重性是最高的，体脂动员也最高，处于正负平衡之内的转换期是最长的。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二是传统的定义，产后干物质采食量不足。任何影响干物质采食量的因素都会成为酮病的诱发因素。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三是原发性生酮先质摄入过高。这两年我们开始关注这个问题，而这种酮病在国内的影响日益凸显，即富丁酸青贮型酮病。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noProof/>
          <w:color w:val="2B2B2B"/>
          <w:kern w:val="0"/>
          <w:sz w:val="32"/>
          <w:szCs w:val="32"/>
        </w:rPr>
        <w:lastRenderedPageBreak/>
        <w:drawing>
          <wp:inline distT="0" distB="0" distL="0" distR="0">
            <wp:extent cx="4800600" cy="2781300"/>
            <wp:effectExtent l="19050" t="0" r="0" b="0"/>
            <wp:docPr id="76" name="图片 78" descr="http://www.hesitan.com:80/pdres/201403/20140311101245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hesitan.com:80/pdres/201403/2014031110124501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临床表现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color w:val="800000"/>
          <w:kern w:val="0"/>
          <w:sz w:val="32"/>
          <w:szCs w:val="32"/>
        </w:rPr>
        <w:t>消耗型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原发性或自发性酮病最常见于泌乳期的第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个月内，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70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天随时可能发生。最初的几天病牛食欲下降，拒食精料和青贮，仅采食少量干草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产奶量明显下降且乳汁容易形成泡沫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奶反应迟钝，被毛干枯、逆立。要区分于真胃变位。虽然体重下降，但通常体温、呼吸、心跳等表现正常。瘤胃蠕动减弱。皮下脂肪过度消耗导致皮肤弹性降低。呼出气体、尿液和乳汁中有烂苹果的气味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丙酮味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，加热时气味明显，但这种气味只有在病情严重时才能闻到，大多数病例不易闻到。消耗型酮病极少引起死亡，但如不及时治疗，病程延长，产奶量很难恢复到正常水平。说我们需要更精确的诊断手段。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8F7660">
        <w:rPr>
          <w:rFonts w:ascii="Arial" w:eastAsia="宋体" w:hAnsi="Arial" w:cs="Arial"/>
          <w:color w:val="800000"/>
          <w:kern w:val="0"/>
          <w:sz w:val="32"/>
          <w:szCs w:val="32"/>
        </w:rPr>
        <w:t>继发性酮病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继发性酮病具有与原发病相关的症状，常由真胃变位、子宫炎等继发而来，很少发生于患腹膜炎、败血性乳腺炎和沙门氏菌病等全身性疾病的奶牛。治疗应该针对原发病。如果酮病持续存在，则应考虑原发性酮病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有证据表明，酮病与真胃变位之间存在密切的关系，二者可相互继发或同时发病。奶牛场一段时期内真胃变位的发病率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&gt;8%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时，高度提示牛群有群发性酮病的风险。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亚临床酮病的病牛症状轻微，仅表现产奶量的轻微下降，病初血糖含量下降不显著，尿酮浓度升高，后期血酮浓度才升高，这种情况只有通过检测酮体和血糖水平才能确诊。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color w:val="800000"/>
          <w:kern w:val="0"/>
          <w:sz w:val="32"/>
          <w:szCs w:val="32"/>
        </w:rPr>
        <w:t>神经性酮病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这里要特别说明一下神经性酮病。神经性酮病治疗原则和其他类型酮病不同。神经性酮病一般来说发病率极低，一千头的牛场一年可能有一头，但要出现三、五头，就说明整体的饲养有问题。患神经型酮病的奶牛常表现为不停地舔自身和其他物体、具有攻击行为、头部姿态异常。。病牛常在消耗型的基础上突然发病，初期表现兴奋，精神高度紧张、不安，大量的流涎，磨牙、空口咀嚼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视力下降，走路不稳，横冲直撞。个别病例全身肌肉紧张，四肢叉开或相互交叉，震颤、吼叫，感觉过敏，通常持续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2h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。这种兴奋过程一般持续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2d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后转入抑制期，反应迟钝，精神高度沉郁，严重者处于昏迷状态。少数轻型病牛仅表现精神沉郁，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头低耳耷，对外界刺激的反应下降。神经型酮病的发病机理不清楚。一些原发性酮病的奶牛由于体质弱而不能站立或共济失调，与病牛血糖过低直接相关。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妊娠后期的奶牛也可能发生酮病。这种情况常见于怀多胎奶牛，其他疾病或影响干物质采食量的因素常为诱发因素。早期症状与产后期酮病相同。如不及时治疗，可能导致死亡。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酮病发病特点及判定方法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产后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70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天均可发病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(5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50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天高发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。血液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β-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羟丁酸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(BHBA)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为检测金标准：</w:t>
      </w:r>
      <w:r w:rsidRPr="008F7660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≧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1.4mmol/L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为亚临床酮病，真胃变位及临床性酮病高发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;&gt;2.0mmol/L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有抽奶的风险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;&gt;3.0mmol/L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以上临床性酮病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部分牛无临床表现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牛场水平的酮病问题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真胃变位发病率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&gt;8%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表明牛群可能有酮病问题。牛奶脂蛋比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&gt;1.4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表明该牛可能有酮病。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牛场酮病的风险评估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小部分牛评价整体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不能过少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：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12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头以上泌乳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5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50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天的牛。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测定牛亚临床酮病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( 1.4mmol/L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以上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超过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10%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即表明牛场有问题。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0/12 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阴性牛场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;1/12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、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2/12 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临界牛场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;&gt;2/12 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阳性牛场。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威斯康辛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74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个牧场评价结果：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40%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的牛场阳性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;34%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的牛场临界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;26%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的牛场阴性。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4%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的个体牛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BHBA &gt;3.0mmol/L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酮病的类型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1701"/>
        <w:gridCol w:w="2030"/>
        <w:gridCol w:w="2131"/>
      </w:tblGrid>
      <w:tr w:rsidR="008F7660" w:rsidRPr="008F7660" w:rsidTr="009B1524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表现</w:t>
            </w:r>
          </w:p>
        </w:tc>
        <w:tc>
          <w:tcPr>
            <w:tcW w:w="5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酮病类型</w:t>
            </w:r>
          </w:p>
        </w:tc>
      </w:tr>
      <w:tr w:rsidR="008F7660" w:rsidRPr="008F7660" w:rsidTr="009B15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660" w:rsidRPr="008F7660" w:rsidRDefault="008F7660" w:rsidP="009B1524">
            <w:pPr>
              <w:widowControl/>
              <w:jc w:val="left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Ⅰ型酮病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Ⅱ型酮病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富含丁酸青贮型</w:t>
            </w:r>
          </w:p>
        </w:tc>
      </w:tr>
      <w:tr w:rsidR="008F7660" w:rsidRPr="008F7660" w:rsidTr="009B15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描述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饲料不足（</w:t>
            </w:r>
            <w:r w:rsidRPr="008F7660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DMI</w:t>
            </w: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）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肥胖牛；脂肪肝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湿青贮</w:t>
            </w:r>
          </w:p>
        </w:tc>
      </w:tr>
      <w:tr w:rsidR="008F7660" w:rsidRPr="008F7660" w:rsidTr="009B15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血液</w:t>
            </w:r>
            <w:r w:rsidRPr="008F7660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BHBA</w:t>
            </w: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（</w:t>
            </w:r>
            <w:r w:rsidRPr="008F7660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β-</w:t>
            </w: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羟丁酸）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非常高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高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高或非常高</w:t>
            </w:r>
          </w:p>
        </w:tc>
      </w:tr>
      <w:tr w:rsidR="008F7660" w:rsidRPr="008F7660" w:rsidTr="009B15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血液</w:t>
            </w:r>
            <w:r w:rsidRPr="008F7660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NEFA</w:t>
            </w: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（非酯化脂肪酸）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高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高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高或正常</w:t>
            </w:r>
          </w:p>
        </w:tc>
      </w:tr>
      <w:tr w:rsidR="008F7660" w:rsidRPr="008F7660" w:rsidTr="009B15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血糖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低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低（最初可能高）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不确定</w:t>
            </w:r>
          </w:p>
        </w:tc>
      </w:tr>
      <w:tr w:rsidR="008F7660" w:rsidRPr="008F7660" w:rsidTr="009B15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体况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可能瘦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通常过肥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不确定</w:t>
            </w:r>
          </w:p>
        </w:tc>
      </w:tr>
      <w:tr w:rsidR="008F7660" w:rsidRPr="008F7660" w:rsidTr="009B15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肝糖原异生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高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低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不确定</w:t>
            </w:r>
          </w:p>
        </w:tc>
      </w:tr>
      <w:tr w:rsidR="008F7660" w:rsidRPr="008F7660" w:rsidTr="009B15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lastRenderedPageBreak/>
              <w:t>肝脏病理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无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脂肪肝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不确定</w:t>
            </w:r>
          </w:p>
        </w:tc>
      </w:tr>
      <w:tr w:rsidR="008F7660" w:rsidRPr="008F7660" w:rsidTr="009B15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高发时期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产后</w:t>
            </w:r>
            <w:r w:rsidRPr="008F7660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3~6</w:t>
            </w: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周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产后</w:t>
            </w:r>
            <w:r w:rsidRPr="008F7660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1~2</w:t>
            </w: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周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不确定</w:t>
            </w:r>
          </w:p>
        </w:tc>
      </w:tr>
      <w:tr w:rsidR="008F7660" w:rsidRPr="008F7660" w:rsidTr="009B15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预后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非常好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不良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良好</w:t>
            </w:r>
          </w:p>
        </w:tc>
      </w:tr>
      <w:tr w:rsidR="008F7660" w:rsidRPr="008F7660" w:rsidTr="009B15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检测关键点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产后</w:t>
            </w:r>
            <w:r w:rsidRPr="008F7660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BHBA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产前</w:t>
            </w:r>
            <w:r w:rsidRPr="008F7660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NEFA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青贮</w:t>
            </w:r>
            <w:r w:rsidRPr="008F7660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VFA</w:t>
            </w: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分析</w:t>
            </w:r>
          </w:p>
        </w:tc>
      </w:tr>
      <w:tr w:rsidR="008F7660" w:rsidRPr="008F7660" w:rsidTr="009B15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防控关键点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产后管理和营养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产前管理和营养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更换青贮</w:t>
            </w:r>
          </w:p>
        </w:tc>
      </w:tr>
    </w:tbl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宋体" w:eastAsia="宋体" w:hAnsi="宋体" w:cs="宋体" w:hint="eastAsia"/>
          <w:color w:val="800000"/>
          <w:kern w:val="0"/>
          <w:sz w:val="32"/>
          <w:szCs w:val="32"/>
        </w:rPr>
        <w:t>Ⅰ</w:t>
      </w:r>
      <w:r w:rsidRPr="008F7660">
        <w:rPr>
          <w:rFonts w:ascii="Arial" w:eastAsia="宋体" w:hAnsi="Arial" w:cs="Arial"/>
          <w:color w:val="800000"/>
          <w:kern w:val="0"/>
          <w:sz w:val="32"/>
          <w:szCs w:val="32"/>
        </w:rPr>
        <w:t>型酮病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产后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周发病，对治疗的反应好。病牛肝脏糖异生功能正常，缺乏生糖先质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血液酮体高、而血糖低。防控关键在于泌乳早期能量最大化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泌乳早期饲料中脂肪过高有影响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饲养密度过高或采食位不足是原因之一。不用过分关注瘤胃酸中毒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产后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90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120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天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治疗原则：血酮、尿酮阳性牛，第一天静脉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50%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葡萄糖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500ml+10mg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地米，后续每天口服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500ml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丙二醇，连用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5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天，再检测确定痊愈或继续治疗。特别轻的，仅口服丙二醇。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宋体" w:eastAsia="宋体" w:hAnsi="宋体" w:cs="宋体" w:hint="eastAsia"/>
          <w:color w:val="800000"/>
          <w:kern w:val="0"/>
          <w:sz w:val="32"/>
          <w:szCs w:val="32"/>
        </w:rPr>
        <w:t>Ⅱ</w:t>
      </w:r>
      <w:r w:rsidRPr="008F7660">
        <w:rPr>
          <w:rFonts w:ascii="Arial" w:eastAsia="宋体" w:hAnsi="Arial" w:cs="Arial"/>
          <w:color w:val="800000"/>
          <w:kern w:val="0"/>
          <w:sz w:val="32"/>
          <w:szCs w:val="32"/>
        </w:rPr>
        <w:t>型酮病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产后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周发病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脂肪肝影响糖异生功能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。肥胖牛和其他牛，包括能量负平衡牛和产前、产犊时体脂动员牛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产前、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产后立即转群，是</w:t>
      </w:r>
      <w:r w:rsidRPr="008F7660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Ⅱ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型酮病发生的主要风险，产房空间不足也是主要风险。</w:t>
      </w:r>
      <w:r w:rsidRPr="008F7660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Ⅱ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型酮病治疗效果不佳，持续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周。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脂肪肝影响肝细胞免疫功能，酮病和免疫抑制同时发生，表现为很多新生牛死于感染性疾病。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诊断要点：新产牛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周内酮病高发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产前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NEFA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升高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肥胖、持续型酮病、真胃变位高发、泌乳早期高淘汰率。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预防：产前营养管理和体况控制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脂肪肝控制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)+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产房管理。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color w:val="800000"/>
          <w:kern w:val="0"/>
          <w:sz w:val="32"/>
          <w:szCs w:val="32"/>
        </w:rPr>
        <w:t>富丁酸青贮酮病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青贮过湿或碳水化合物含量低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+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梭状芽胞杆菌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——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产生丁酸。青贮下午收割最好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碳水化合物最高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。通过气味或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VFA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检测可确定青贮是否有问题。解决办法：更换青贮。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color w:val="800000"/>
          <w:kern w:val="0"/>
          <w:sz w:val="32"/>
          <w:szCs w:val="32"/>
        </w:rPr>
        <w:t>个体牛酮病的诊断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血酮检测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β-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羟丁酸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(BHBA)1.4mmol/L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3.0mmol/L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为亚临床酮病，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3.0mmol/L 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以上为临床性酮病。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尿酮乳酮检测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Ketolac 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用于乳中的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β-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羟丁酸检测，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Ketostix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用于尿中的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β-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羟丁酸检测。准确率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90%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酮粉法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Rothera’s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试验检测尿和乳中的酮体。在白色瓷片或纸版上放置少量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Rothera’s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试剂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含亚硝基铁氰化钠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5g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无水碳酸钠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100g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，硫酸铵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100g)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，滴加一滴尿或牛奶，如出现粉红色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~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紫色，证实含有酮体。通常正常的尿中也含有少量酮体，因此只有乳酮阳性时才能判定为阳性。酮粉法检测乙酰乙酸和丙酮，因此准确性低于血酮和尿酮试纸条。　　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1559"/>
        <w:gridCol w:w="1985"/>
      </w:tblGrid>
      <w:tr w:rsidR="008F7660" w:rsidRPr="008F7660" w:rsidTr="009B1524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反应现象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结果判断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报告方式</w:t>
            </w:r>
          </w:p>
        </w:tc>
      </w:tr>
      <w:tr w:rsidR="008F7660" w:rsidRPr="008F7660" w:rsidTr="009B1524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立即出现深紫色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强阳性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＋＋＋～＋＋＋＋</w:t>
            </w:r>
          </w:p>
        </w:tc>
      </w:tr>
      <w:tr w:rsidR="008F7660" w:rsidRPr="008F7660" w:rsidTr="009B1524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立即呈现淡紫色后渐转深紫色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阳</w:t>
            </w:r>
            <w:r w:rsidRPr="008F7660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 xml:space="preserve"> </w:t>
            </w: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性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＋＋</w:t>
            </w:r>
          </w:p>
        </w:tc>
      </w:tr>
      <w:tr w:rsidR="008F7660" w:rsidRPr="008F7660" w:rsidTr="009B1524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逐渐呈现淡紫色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弱阳性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＋</w:t>
            </w:r>
          </w:p>
        </w:tc>
      </w:tr>
      <w:tr w:rsidR="008F7660" w:rsidRPr="008F7660" w:rsidTr="009B1524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5min</w:t>
            </w: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内无紫色出现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阴</w:t>
            </w:r>
            <w:r w:rsidRPr="008F7660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 xml:space="preserve"> </w:t>
            </w: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性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60" w:rsidRPr="008F7660" w:rsidRDefault="008F7660" w:rsidP="009B152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8F7660">
              <w:rPr>
                <w:rFonts w:cs="宋体" w:hint="eastAsia"/>
                <w:color w:val="828282"/>
                <w:kern w:val="0"/>
                <w:sz w:val="32"/>
                <w:szCs w:val="32"/>
              </w:rPr>
              <w:t>－</w:t>
            </w:r>
          </w:p>
        </w:tc>
      </w:tr>
    </w:tbl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通过对比检测发现，尿酮检测试纸条达到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0.5mmol/L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时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最浅的阳性结果，试纸条判定结果为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±)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，其对应血浆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BHBA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达到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1.4mmol/L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，可判定为亚临床酮病，需要进行相应治疗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尿酮检测试纸条达到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4.0mmol/L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时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深红色阳性结果，试纸条判定结果为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++)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，其对应血浆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BHBA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达到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3.0mmol/L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以上，可判定为临床性酮病，需要进行补液治疗。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需要注意的是，有些乳酮诊断试剂检测的为乳中乙酰乙酸含量，其敏感性和特异性差，不适于酮病的检测。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酮粉法检测的是尿中乙酰乙酸和丙酮含量，因此准确性较低，但如果在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1min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内迅速变为深紫色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(+++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++++)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，其对应血浆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BHBA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检测值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&gt;3.0mmol/L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，可判定为临床性酮病。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</w:t>
      </w:r>
      <w:r w:rsidRPr="008F7660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 xml:space="preserve">　个体牛酮病的治疗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50%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的糖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500mL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一次剂量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神经型酮病每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6h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一次。地塞米松选择性使用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(I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型酮病，产后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20~50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天的牛，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10mg~20mg)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。生糖先质口服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丙二醇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350~500mL/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头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/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天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。不能经口补充葡萄糖，因为牛不能直接利用口服的葡萄糖提升血糖。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8F7660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牛场水平酮病的预防</w:t>
      </w:r>
    </w:p>
    <w:p w:rsidR="008F7660" w:rsidRPr="008F7660" w:rsidRDefault="008F7660" w:rsidP="008F766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牛场酮病风险评估，每月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次，确定有无和类型，依据类型确定防控关键点。</w:t>
      </w:r>
    </w:p>
    <w:p w:rsidR="008336DB" w:rsidRDefault="008F7660" w:rsidP="008F7660">
      <w:pPr>
        <w:ind w:firstLine="630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国内高发的脂肪肝型酮病防控关键点：干奶牛体况评分控制在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3.5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以下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科特壮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生糖先质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丙酸钙、丙二醇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过瘤胃胆碱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氯化胆碱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莫能菌素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烟酸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过瘤胃烟酸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。产前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21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天绝不能减肥</w:t>
      </w:r>
      <w:r w:rsidRPr="008F7660">
        <w:rPr>
          <w:rFonts w:ascii="Arial" w:eastAsia="宋体" w:hAnsi="Arial" w:cs="Arial"/>
          <w:color w:val="2B2B2B"/>
          <w:kern w:val="0"/>
          <w:sz w:val="32"/>
          <w:szCs w:val="32"/>
        </w:rPr>
        <w:t>!!</w:t>
      </w:r>
    </w:p>
    <w:p w:rsidR="008F7660" w:rsidRPr="00785311" w:rsidRDefault="008F7660" w:rsidP="008F7660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7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8F7660" w:rsidRPr="00785311" w:rsidRDefault="008F7660" w:rsidP="008F7660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F7660" w:rsidRPr="00785311" w:rsidRDefault="008F7660" w:rsidP="008F7660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8F7660" w:rsidRPr="00917A63" w:rsidRDefault="008336DB" w:rsidP="008F7660">
      <w:pPr>
        <w:pStyle w:val="a6"/>
        <w:ind w:firstLine="480"/>
        <w:rPr>
          <w:b/>
          <w:color w:val="000000"/>
        </w:rPr>
      </w:pPr>
      <w:hyperlink r:id="rId8" w:history="1">
        <w:r w:rsidR="008F7660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8F7660" w:rsidRDefault="008F7660" w:rsidP="008F7660">
      <w:pPr>
        <w:jc w:val="center"/>
        <w:rPr>
          <w:b/>
          <w:color w:val="FF0000"/>
          <w:sz w:val="32"/>
          <w:szCs w:val="32"/>
        </w:rPr>
      </w:pPr>
    </w:p>
    <w:p w:rsidR="008F7660" w:rsidRPr="004F7A8F" w:rsidRDefault="008336DB" w:rsidP="008F7660">
      <w:pPr>
        <w:jc w:val="center"/>
        <w:rPr>
          <w:b/>
          <w:color w:val="FF0000"/>
          <w:sz w:val="32"/>
          <w:szCs w:val="32"/>
        </w:rPr>
      </w:pPr>
      <w:hyperlink r:id="rId9" w:history="1"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8F7660" w:rsidRPr="004F7A8F" w:rsidRDefault="008F7660" w:rsidP="008F7660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8F7660" w:rsidRPr="004F7A8F" w:rsidRDefault="008336DB" w:rsidP="008F7660">
      <w:pPr>
        <w:jc w:val="center"/>
        <w:rPr>
          <w:b/>
          <w:color w:val="FF0000"/>
          <w:sz w:val="32"/>
          <w:szCs w:val="32"/>
        </w:rPr>
      </w:pPr>
      <w:hyperlink r:id="rId10" w:history="1"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8F7660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8F7660" w:rsidRPr="009642C1" w:rsidRDefault="008F7660" w:rsidP="008F7660"/>
    <w:p w:rsidR="00937A0B" w:rsidRDefault="00937A0B" w:rsidP="00937A0B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8F7660" w:rsidRPr="00937A0B" w:rsidRDefault="008F7660" w:rsidP="008F7660">
      <w:pPr>
        <w:ind w:firstLine="630"/>
        <w:rPr>
          <w:sz w:val="32"/>
          <w:szCs w:val="32"/>
        </w:rPr>
      </w:pPr>
    </w:p>
    <w:sectPr w:rsidR="008F7660" w:rsidRPr="00937A0B" w:rsidSect="008336DB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3AE" w:rsidRDefault="007C53AE" w:rsidP="008F7660">
      <w:r>
        <w:separator/>
      </w:r>
    </w:p>
  </w:endnote>
  <w:endnote w:type="continuationSeparator" w:id="1">
    <w:p w:rsidR="007C53AE" w:rsidRDefault="007C53AE" w:rsidP="008F7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3AE" w:rsidRDefault="007C53AE" w:rsidP="008F7660">
      <w:r>
        <w:separator/>
      </w:r>
    </w:p>
  </w:footnote>
  <w:footnote w:type="continuationSeparator" w:id="1">
    <w:p w:rsidR="007C53AE" w:rsidRDefault="007C53AE" w:rsidP="008F76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660" w:rsidRDefault="008F7660">
    <w:pPr>
      <w:pStyle w:val="a3"/>
    </w:pPr>
    <w:r w:rsidRPr="008F7660">
      <w:rPr>
        <w:rFonts w:hint="eastAsia"/>
      </w:rPr>
      <w:t xml:space="preserve">Feed mix </w:t>
    </w:r>
    <w:r w:rsidRPr="008F7660">
      <w:rPr>
        <w:rFonts w:hint="eastAsia"/>
      </w:rPr>
      <w:t>反刍营养百分百</w:t>
    </w:r>
    <w:r w:rsidRPr="008F7660">
      <w:rPr>
        <w:rFonts w:hint="eastAsia"/>
      </w:rPr>
      <w:t>-</w:t>
    </w:r>
    <w:r w:rsidRPr="008F7660">
      <w:rPr>
        <w:rFonts w:hint="eastAsia"/>
      </w:rPr>
      <w:t>饲料配方软件</w:t>
    </w:r>
    <w:r w:rsidRPr="008F7660">
      <w:rPr>
        <w:rFonts w:hint="eastAsia"/>
      </w:rPr>
      <w:t>(</w:t>
    </w:r>
    <w:r w:rsidRPr="008F7660">
      <w:rPr>
        <w:rFonts w:hint="eastAsia"/>
      </w:rPr>
      <w:t>奶牛、肉牛、肉羊饲料日粮</w:t>
    </w:r>
    <w:r w:rsidRPr="008F7660">
      <w:rPr>
        <w:rFonts w:hint="eastAsia"/>
      </w:rPr>
      <w:t>TMR</w:t>
    </w:r>
    <w:r w:rsidRPr="008F7660">
      <w:rPr>
        <w:rFonts w:hint="eastAsia"/>
      </w:rPr>
      <w:t>计算</w:t>
    </w:r>
    <w:r w:rsidRPr="008F7660">
      <w:rPr>
        <w:rFonts w:hint="eastAsia"/>
      </w:rPr>
      <w:t>)QQ</w:t>
    </w:r>
    <w:r w:rsidRPr="008F7660">
      <w:rPr>
        <w:rFonts w:hint="eastAsia"/>
      </w:rPr>
      <w:t>：</w:t>
    </w:r>
    <w:r w:rsidRPr="008F7660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7660"/>
    <w:rsid w:val="007C53AE"/>
    <w:rsid w:val="008336DB"/>
    <w:rsid w:val="008F7660"/>
    <w:rsid w:val="0093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76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76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76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766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76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7660"/>
    <w:rPr>
      <w:sz w:val="18"/>
      <w:szCs w:val="18"/>
    </w:rPr>
  </w:style>
  <w:style w:type="paragraph" w:styleId="a6">
    <w:name w:val="Normal (Web)"/>
    <w:basedOn w:val="a"/>
    <w:uiPriority w:val="99"/>
    <w:rsid w:val="008F76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8F7660"/>
    <w:rPr>
      <w:b/>
      <w:bCs/>
    </w:rPr>
  </w:style>
  <w:style w:type="character" w:styleId="a8">
    <w:name w:val="Hyperlink"/>
    <w:basedOn w:val="a0"/>
    <w:rsid w:val="008F76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2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3375f534fd044a527ead49b79fe1a0143b" TargetMode="External"/><Relationship Id="rId18" Type="http://schemas.openxmlformats.org/officeDocument/2006/relationships/hyperlink" Target="http://mail.sina.com.cn/netdisk/download.php?id=e39691d5b6090ce6a56f9278e4241514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8fd3214578208c6c149fc419d93ec21475" TargetMode="Externa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17" Type="http://schemas.openxmlformats.org/officeDocument/2006/relationships/hyperlink" Target="http://mail.sina.com.cn/netdisk/download.php?id=d749af0a6848a635bb96b12f6e966f143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2e2d884a7ec6eda8522f8c67a07140140c" TargetMode="External"/><Relationship Id="rId20" Type="http://schemas.openxmlformats.org/officeDocument/2006/relationships/hyperlink" Target="http://mail.sina.com.cn/netdisk/download.php?id=e4952a03385f26c3729ae8e059b60c140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447faa01ee8d8a9249a6ab838efc2a1492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0da6b3470e56a53383bef3da87e55b148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19" Type="http://schemas.openxmlformats.org/officeDocument/2006/relationships/hyperlink" Target="http://mail.sina.com.cn/netdisk/download.php?id=878adf1aa8f8f114b317854cd73aac14b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yperlink" Target="http://mail.sina.com.cn/netdisk/download.php?id=b18dc710c53bda046cc5f40416802214e3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1166</Words>
  <Characters>6651</Characters>
  <Application>Microsoft Office Word</Application>
  <DocSecurity>0</DocSecurity>
  <Lines>55</Lines>
  <Paragraphs>15</Paragraphs>
  <ScaleCrop>false</ScaleCrop>
  <Company/>
  <LinksUpToDate>false</LinksUpToDate>
  <CharactersWithSpaces>7802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2015-01-05T00:06:00Z</dcterms:created>
  <dcterms:modified xsi:type="dcterms:W3CDTF">2015-01-06T01:36:00Z</dcterms:modified>
</cp:coreProperties>
</file>