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488" w:rsidRPr="000128C3" w:rsidRDefault="00CA1488" w:rsidP="00CA1488">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0128C3">
        <w:rPr>
          <w:rFonts w:ascii="Arial" w:eastAsia="宋体" w:hAnsi="Arial" w:cs="Arial"/>
          <w:b/>
          <w:bCs/>
          <w:color w:val="01288D"/>
          <w:kern w:val="36"/>
          <w:sz w:val="33"/>
          <w:szCs w:val="33"/>
        </w:rPr>
        <w:t>奶牛低血钙症：忽略的问题和隐藏的经济风险</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0128C3">
        <w:rPr>
          <w:rFonts w:ascii="Arial" w:eastAsia="宋体" w:hAnsi="Arial" w:cs="Arial"/>
          <w:color w:val="2B2B2B"/>
          <w:kern w:val="0"/>
          <w:szCs w:val="21"/>
        </w:rPr>
        <w:t xml:space="preserve">　　</w:t>
      </w:r>
      <w:r w:rsidRPr="00CA1488">
        <w:rPr>
          <w:rFonts w:ascii="Arial" w:eastAsia="宋体" w:hAnsi="Arial" w:cs="Arial"/>
          <w:color w:val="2B2B2B"/>
          <w:kern w:val="0"/>
          <w:sz w:val="30"/>
          <w:szCs w:val="30"/>
        </w:rPr>
        <w:t>母牛从妊娠后期转换至泌乳，需要大量的生理适应。其中一个最重要的变化，涉及到钙的平衡。不能维持合理钙浓度的母牛，易于发生产犊后早期的代谢疾患，并产奶减少。这些母牛可分为亚临床低血钙症</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刚好低于正常</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，具有每</w:t>
      </w:r>
      <w:r w:rsidRPr="00CA1488">
        <w:rPr>
          <w:rFonts w:ascii="Arial" w:eastAsia="宋体" w:hAnsi="Arial" w:cs="Arial"/>
          <w:color w:val="2B2B2B"/>
          <w:kern w:val="0"/>
          <w:sz w:val="30"/>
          <w:szCs w:val="30"/>
        </w:rPr>
        <w:t>100</w:t>
      </w:r>
      <w:r w:rsidRPr="00CA1488">
        <w:rPr>
          <w:rFonts w:ascii="Arial" w:eastAsia="宋体" w:hAnsi="Arial" w:cs="Arial"/>
          <w:color w:val="2B2B2B"/>
          <w:kern w:val="0"/>
          <w:sz w:val="30"/>
          <w:szCs w:val="30"/>
        </w:rPr>
        <w:t>毫升血液</w:t>
      </w:r>
      <w:r w:rsidRPr="00CA1488">
        <w:rPr>
          <w:rFonts w:ascii="Arial" w:eastAsia="宋体" w:hAnsi="Arial" w:cs="Arial"/>
          <w:color w:val="2B2B2B"/>
          <w:kern w:val="0"/>
          <w:sz w:val="30"/>
          <w:szCs w:val="30"/>
        </w:rPr>
        <w:t>5.5</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8.0</w:t>
      </w:r>
      <w:r w:rsidRPr="00CA1488">
        <w:rPr>
          <w:rFonts w:ascii="Arial" w:eastAsia="宋体" w:hAnsi="Arial" w:cs="Arial"/>
          <w:color w:val="2B2B2B"/>
          <w:kern w:val="0"/>
          <w:sz w:val="30"/>
          <w:szCs w:val="30"/>
        </w:rPr>
        <w:t>毫克之间的血钙浓度，或常称为产乳热的临床型低血钙症，其血钙浓度低于每</w:t>
      </w:r>
      <w:r w:rsidRPr="00CA1488">
        <w:rPr>
          <w:rFonts w:ascii="Arial" w:eastAsia="宋体" w:hAnsi="Arial" w:cs="Arial"/>
          <w:color w:val="2B2B2B"/>
          <w:kern w:val="0"/>
          <w:sz w:val="30"/>
          <w:szCs w:val="30"/>
        </w:rPr>
        <w:t>100</w:t>
      </w:r>
      <w:r w:rsidRPr="00CA1488">
        <w:rPr>
          <w:rFonts w:ascii="Arial" w:eastAsia="宋体" w:hAnsi="Arial" w:cs="Arial"/>
          <w:color w:val="2B2B2B"/>
          <w:kern w:val="0"/>
          <w:sz w:val="30"/>
          <w:szCs w:val="30"/>
        </w:rPr>
        <w:t>毫升</w:t>
      </w:r>
      <w:r w:rsidRPr="00CA1488">
        <w:rPr>
          <w:rFonts w:ascii="Arial" w:eastAsia="宋体" w:hAnsi="Arial" w:cs="Arial"/>
          <w:color w:val="2B2B2B"/>
          <w:kern w:val="0"/>
          <w:sz w:val="30"/>
          <w:szCs w:val="30"/>
        </w:rPr>
        <w:t>5.5</w:t>
      </w:r>
      <w:r w:rsidRPr="00CA1488">
        <w:rPr>
          <w:rFonts w:ascii="Arial" w:eastAsia="宋体" w:hAnsi="Arial" w:cs="Arial"/>
          <w:color w:val="2B2B2B"/>
          <w:kern w:val="0"/>
          <w:sz w:val="30"/>
          <w:szCs w:val="30"/>
        </w:rPr>
        <w:t>毫克以下</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显著低于正常</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b/>
          <w:bCs/>
          <w:color w:val="2B2B2B"/>
          <w:kern w:val="0"/>
          <w:sz w:val="30"/>
          <w:szCs w:val="30"/>
        </w:rPr>
        <w:t>一个忽略的问题</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围产母牛维持合理血钙浓度的重要性，似乎已被忽略和忽视。一个</w:t>
      </w:r>
      <w:r w:rsidRPr="00CA1488">
        <w:rPr>
          <w:rFonts w:ascii="Arial" w:eastAsia="宋体" w:hAnsi="Arial" w:cs="Arial"/>
          <w:color w:val="2B2B2B"/>
          <w:kern w:val="0"/>
          <w:sz w:val="30"/>
          <w:szCs w:val="30"/>
        </w:rPr>
        <w:t>2012</w:t>
      </w:r>
      <w:r w:rsidRPr="00CA1488">
        <w:rPr>
          <w:rFonts w:ascii="Arial" w:eastAsia="宋体" w:hAnsi="Arial" w:cs="Arial"/>
          <w:color w:val="2B2B2B"/>
          <w:kern w:val="0"/>
          <w:sz w:val="30"/>
          <w:szCs w:val="30"/>
        </w:rPr>
        <w:t>年发表的研究指明，比较与两个在新产母牛普遍检测的能量代谢物，钙对泌乳早期的奶产量更为重要</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见表</w:t>
      </w:r>
      <w:r w:rsidRPr="00CA1488">
        <w:rPr>
          <w:rFonts w:ascii="Arial" w:eastAsia="宋体" w:hAnsi="Arial" w:cs="Arial"/>
          <w:color w:val="2B2B2B"/>
          <w:kern w:val="0"/>
          <w:sz w:val="30"/>
          <w:szCs w:val="30"/>
        </w:rPr>
        <w:t>1)</w:t>
      </w:r>
      <w:r w:rsidRPr="00CA1488">
        <w:rPr>
          <w:rFonts w:ascii="Arial" w:eastAsia="宋体" w:hAnsi="Arial" w:cs="Arial"/>
          <w:color w:val="2B2B2B"/>
          <w:kern w:val="0"/>
          <w:sz w:val="30"/>
          <w:szCs w:val="30"/>
        </w:rPr>
        <w:t>。该研究显示血钙浓度具有比非酯化脂肪酸</w:t>
      </w:r>
      <w:r w:rsidRPr="00CA1488">
        <w:rPr>
          <w:rFonts w:ascii="Arial" w:eastAsia="宋体" w:hAnsi="Arial" w:cs="Arial"/>
          <w:color w:val="2B2B2B"/>
          <w:kern w:val="0"/>
          <w:sz w:val="30"/>
          <w:szCs w:val="30"/>
        </w:rPr>
        <w:t>(NEFA)</w:t>
      </w:r>
      <w:r w:rsidRPr="00CA1488">
        <w:rPr>
          <w:rFonts w:ascii="Arial" w:eastAsia="宋体" w:hAnsi="Arial" w:cs="Arial"/>
          <w:color w:val="2B2B2B"/>
          <w:kern w:val="0"/>
          <w:sz w:val="30"/>
          <w:szCs w:val="30"/>
        </w:rPr>
        <w:t>和</w:t>
      </w:r>
      <w:r w:rsidRPr="00CA1488">
        <w:rPr>
          <w:rFonts w:ascii="Arial" w:eastAsia="宋体" w:hAnsi="Arial" w:cs="Arial"/>
          <w:color w:val="2B2B2B"/>
          <w:kern w:val="0"/>
          <w:sz w:val="30"/>
          <w:szCs w:val="30"/>
        </w:rPr>
        <w:t>β-</w:t>
      </w:r>
      <w:r w:rsidRPr="00CA1488">
        <w:rPr>
          <w:rFonts w:ascii="Arial" w:eastAsia="宋体" w:hAnsi="Arial" w:cs="Arial"/>
          <w:color w:val="2B2B2B"/>
          <w:kern w:val="0"/>
          <w:sz w:val="30"/>
          <w:szCs w:val="30"/>
        </w:rPr>
        <w:t>羟丁酸</w:t>
      </w:r>
      <w:r w:rsidRPr="00CA1488">
        <w:rPr>
          <w:rFonts w:ascii="Arial" w:eastAsia="宋体" w:hAnsi="Arial" w:cs="Arial"/>
          <w:color w:val="2B2B2B"/>
          <w:kern w:val="0"/>
          <w:sz w:val="30"/>
          <w:szCs w:val="30"/>
        </w:rPr>
        <w:t>(BHBA)</w:t>
      </w:r>
      <w:r w:rsidRPr="00CA1488">
        <w:rPr>
          <w:rFonts w:ascii="Arial" w:eastAsia="宋体" w:hAnsi="Arial" w:cs="Arial"/>
          <w:color w:val="2B2B2B"/>
          <w:kern w:val="0"/>
          <w:sz w:val="30"/>
          <w:szCs w:val="30"/>
        </w:rPr>
        <w:t>对产奶量更大的负面影响。而且这种状况可能持续至产犊后的第三周。</w:t>
      </w:r>
    </w:p>
    <w:p w:rsidR="00CA1488" w:rsidRPr="00CA1488" w:rsidRDefault="00CA1488" w:rsidP="00CA1488">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CA1488">
        <w:rPr>
          <w:rFonts w:ascii="Arial" w:eastAsia="宋体" w:hAnsi="Arial" w:cs="Arial"/>
          <w:color w:val="2B2B2B"/>
          <w:kern w:val="0"/>
          <w:sz w:val="30"/>
          <w:szCs w:val="30"/>
        </w:rPr>
        <w:t>表</w:t>
      </w:r>
      <w:r w:rsidRPr="00CA1488">
        <w:rPr>
          <w:rFonts w:ascii="Arial" w:eastAsia="宋体" w:hAnsi="Arial" w:cs="Arial"/>
          <w:color w:val="2B2B2B"/>
          <w:kern w:val="0"/>
          <w:sz w:val="30"/>
          <w:szCs w:val="30"/>
        </w:rPr>
        <w:t xml:space="preserve">1. </w:t>
      </w:r>
      <w:r w:rsidRPr="00CA1488">
        <w:rPr>
          <w:rFonts w:ascii="Arial" w:eastAsia="宋体" w:hAnsi="Arial" w:cs="Arial"/>
          <w:color w:val="2B2B2B"/>
          <w:kern w:val="0"/>
          <w:sz w:val="30"/>
          <w:szCs w:val="30"/>
        </w:rPr>
        <w:t>按产犊后周数进行的血液测定以及与之相关的奶产量损失。</w:t>
      </w:r>
      <w:r w:rsidRPr="00CA1488">
        <w:rPr>
          <w:rFonts w:ascii="Arial" w:eastAsia="宋体" w:hAnsi="Arial" w:cs="Arial"/>
          <w:color w:val="2B2B2B"/>
          <w:kern w:val="0"/>
          <w:sz w:val="30"/>
          <w:szCs w:val="30"/>
        </w:rPr>
        <w:t xml:space="preserve"> </w:t>
      </w:r>
    </w:p>
    <w:tbl>
      <w:tblPr>
        <w:tblW w:w="0" w:type="auto"/>
        <w:jc w:val="cente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blBorders>
        <w:tblLook w:val="04A0"/>
      </w:tblPr>
      <w:tblGrid>
        <w:gridCol w:w="3220"/>
        <w:gridCol w:w="1869"/>
        <w:gridCol w:w="2169"/>
        <w:gridCol w:w="1264"/>
      </w:tblGrid>
      <w:tr w:rsidR="00CA1488" w:rsidRPr="00CA1488" w:rsidTr="009B1524">
        <w:trPr>
          <w:jc w:val="center"/>
        </w:trPr>
        <w:tc>
          <w:tcPr>
            <w:tcW w:w="0" w:type="auto"/>
            <w:tcBorders>
              <w:top w:val="single" w:sz="8" w:space="0" w:color="78C0D4" w:themeColor="accent5" w:themeTint="BF"/>
              <w:left w:val="single" w:sz="8" w:space="0" w:color="78C0D4" w:themeColor="accent5" w:themeTint="BF"/>
              <w:bottom w:val="single" w:sz="8" w:space="0" w:color="78C0D4" w:themeColor="accent5" w:themeTint="BF"/>
              <w:right w:val="nil"/>
            </w:tcBorders>
            <w:shd w:val="clear" w:color="auto" w:fill="4BACC6" w:themeFill="accent5"/>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FFFFFF" w:themeColor="background1"/>
                <w:kern w:val="0"/>
                <w:sz w:val="30"/>
                <w:szCs w:val="30"/>
              </w:rPr>
              <w:t>测定代谢物</w:t>
            </w:r>
          </w:p>
        </w:tc>
        <w:tc>
          <w:tcPr>
            <w:tcW w:w="0" w:type="auto"/>
            <w:tcBorders>
              <w:top w:val="single" w:sz="8" w:space="0" w:color="78C0D4" w:themeColor="accent5" w:themeTint="BF"/>
              <w:left w:val="nil"/>
              <w:bottom w:val="single" w:sz="8" w:space="0" w:color="78C0D4" w:themeColor="accent5" w:themeTint="BF"/>
              <w:right w:val="nil"/>
            </w:tcBorders>
            <w:shd w:val="clear" w:color="auto" w:fill="4BACC6" w:themeFill="accent5"/>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FFFFFF" w:themeColor="background1"/>
                <w:kern w:val="0"/>
                <w:sz w:val="30"/>
                <w:szCs w:val="30"/>
              </w:rPr>
              <w:t>高风险群内</w:t>
            </w:r>
          </w:p>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FFFFFF" w:themeColor="background1"/>
                <w:kern w:val="0"/>
                <w:sz w:val="30"/>
                <w:szCs w:val="30"/>
              </w:rPr>
              <w:t>动物比例，%</w:t>
            </w:r>
          </w:p>
        </w:tc>
        <w:tc>
          <w:tcPr>
            <w:tcW w:w="0" w:type="auto"/>
            <w:tcBorders>
              <w:top w:val="single" w:sz="8" w:space="0" w:color="78C0D4" w:themeColor="accent5" w:themeTint="BF"/>
              <w:left w:val="nil"/>
              <w:bottom w:val="single" w:sz="8" w:space="0" w:color="78C0D4" w:themeColor="accent5" w:themeTint="BF"/>
              <w:right w:val="nil"/>
            </w:tcBorders>
            <w:shd w:val="clear" w:color="auto" w:fill="4BACC6" w:themeFill="accent5"/>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FFFFFF" w:themeColor="background1"/>
                <w:kern w:val="0"/>
                <w:sz w:val="30"/>
                <w:szCs w:val="30"/>
              </w:rPr>
              <w:t>估计的奶产量</w:t>
            </w:r>
          </w:p>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FFFFFF" w:themeColor="background1"/>
                <w:kern w:val="0"/>
                <w:sz w:val="30"/>
                <w:szCs w:val="30"/>
              </w:rPr>
              <w:t>损失，千克/日</w:t>
            </w:r>
          </w:p>
        </w:tc>
        <w:tc>
          <w:tcPr>
            <w:tcW w:w="0" w:type="auto"/>
            <w:tcBorders>
              <w:top w:val="single" w:sz="8" w:space="0" w:color="78C0D4" w:themeColor="accent5" w:themeTint="BF"/>
              <w:left w:val="nil"/>
              <w:bottom w:val="single" w:sz="8" w:space="0" w:color="78C0D4" w:themeColor="accent5" w:themeTint="BF"/>
              <w:right w:val="single" w:sz="8" w:space="0" w:color="78C0D4" w:themeColor="accent5" w:themeTint="BF"/>
            </w:tcBorders>
            <w:shd w:val="clear" w:color="auto" w:fill="4BACC6" w:themeFill="accent5"/>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FFFFFF" w:themeColor="background1"/>
                <w:kern w:val="0"/>
                <w:sz w:val="30"/>
                <w:szCs w:val="30"/>
              </w:rPr>
              <w:t>P值</w:t>
            </w:r>
          </w:p>
        </w:tc>
      </w:tr>
      <w:tr w:rsidR="00CA1488" w:rsidRPr="00CA1488" w:rsidTr="009B1524">
        <w:trPr>
          <w:jc w:val="center"/>
        </w:trPr>
        <w:tc>
          <w:tcPr>
            <w:tcW w:w="0" w:type="auto"/>
            <w:tcBorders>
              <w:top w:val="single" w:sz="8" w:space="0" w:color="78C0D4" w:themeColor="accent5" w:themeTint="BF"/>
              <w:left w:val="single" w:sz="8" w:space="0" w:color="78C0D4" w:themeColor="accent5" w:themeTint="BF"/>
              <w:bottom w:val="single" w:sz="8" w:space="0" w:color="78C0D4" w:themeColor="accent5" w:themeTint="BF"/>
              <w:right w:val="nil"/>
            </w:tcBorders>
            <w:shd w:val="clear" w:color="auto" w:fill="D2EAF1" w:themeFill="accent5" w:themeFillTint="3F"/>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产后第一周</w:t>
            </w:r>
          </w:p>
        </w:tc>
        <w:tc>
          <w:tcPr>
            <w:tcW w:w="0" w:type="auto"/>
            <w:tcBorders>
              <w:top w:val="single" w:sz="8" w:space="0" w:color="78C0D4" w:themeColor="accent5" w:themeTint="BF"/>
              <w:left w:val="nil"/>
              <w:bottom w:val="single" w:sz="8" w:space="0" w:color="78C0D4" w:themeColor="accent5" w:themeTint="BF"/>
              <w:right w:val="nil"/>
            </w:tcBorders>
            <w:shd w:val="clear" w:color="auto" w:fill="D2EAF1" w:themeFill="accent5" w:themeFillTint="3F"/>
            <w:vAlign w:val="center"/>
            <w:hideMark/>
          </w:tcPr>
          <w:p w:rsidR="00CA1488" w:rsidRPr="00CA1488" w:rsidRDefault="00CA1488" w:rsidP="009B1524">
            <w:pPr>
              <w:widowControl/>
              <w:jc w:val="left"/>
              <w:rPr>
                <w:rFonts w:ascii="Arial" w:eastAsia="宋体" w:hAnsi="Arial" w:cs="Arial"/>
                <w:color w:val="828282"/>
                <w:kern w:val="0"/>
                <w:sz w:val="30"/>
                <w:szCs w:val="30"/>
              </w:rPr>
            </w:pPr>
          </w:p>
        </w:tc>
        <w:tc>
          <w:tcPr>
            <w:tcW w:w="0" w:type="auto"/>
            <w:tcBorders>
              <w:top w:val="single" w:sz="8" w:space="0" w:color="78C0D4" w:themeColor="accent5" w:themeTint="BF"/>
              <w:left w:val="nil"/>
              <w:bottom w:val="single" w:sz="8" w:space="0" w:color="78C0D4" w:themeColor="accent5" w:themeTint="BF"/>
              <w:right w:val="nil"/>
            </w:tcBorders>
            <w:shd w:val="clear" w:color="auto" w:fill="D2EAF1" w:themeFill="accent5" w:themeFillTint="3F"/>
            <w:vAlign w:val="center"/>
            <w:hideMark/>
          </w:tcPr>
          <w:p w:rsidR="00CA1488" w:rsidRPr="00CA1488" w:rsidRDefault="00CA1488" w:rsidP="009B1524">
            <w:pPr>
              <w:widowControl/>
              <w:jc w:val="left"/>
              <w:rPr>
                <w:rFonts w:ascii="Arial" w:eastAsia="宋体" w:hAnsi="Arial" w:cs="Arial"/>
                <w:color w:val="828282"/>
                <w:kern w:val="0"/>
                <w:sz w:val="30"/>
                <w:szCs w:val="30"/>
              </w:rPr>
            </w:pPr>
          </w:p>
        </w:tc>
        <w:tc>
          <w:tcPr>
            <w:tcW w:w="0" w:type="auto"/>
            <w:tcBorders>
              <w:top w:val="single" w:sz="8" w:space="0" w:color="78C0D4" w:themeColor="accent5" w:themeTint="BF"/>
              <w:left w:val="nil"/>
              <w:bottom w:val="single" w:sz="8" w:space="0" w:color="78C0D4" w:themeColor="accent5" w:themeTint="BF"/>
              <w:right w:val="single" w:sz="8" w:space="0" w:color="78C0D4" w:themeColor="accent5" w:themeTint="BF"/>
            </w:tcBorders>
            <w:shd w:val="clear" w:color="auto" w:fill="D2EAF1" w:themeFill="accent5" w:themeFillTint="3F"/>
            <w:vAlign w:val="center"/>
            <w:hideMark/>
          </w:tcPr>
          <w:p w:rsidR="00CA1488" w:rsidRPr="00CA1488" w:rsidRDefault="00CA1488" w:rsidP="009B1524">
            <w:pPr>
              <w:widowControl/>
              <w:jc w:val="left"/>
              <w:rPr>
                <w:rFonts w:ascii="Arial" w:eastAsia="宋体" w:hAnsi="Arial" w:cs="Arial"/>
                <w:color w:val="828282"/>
                <w:kern w:val="0"/>
                <w:sz w:val="30"/>
                <w:szCs w:val="30"/>
              </w:rPr>
            </w:pPr>
          </w:p>
        </w:tc>
      </w:tr>
      <w:tr w:rsidR="00CA1488" w:rsidRPr="00CA1488" w:rsidTr="009B1524">
        <w:trPr>
          <w:jc w:val="center"/>
        </w:trPr>
        <w:tc>
          <w:tcPr>
            <w:tcW w:w="0" w:type="auto"/>
            <w:tcBorders>
              <w:top w:val="single" w:sz="8" w:space="0" w:color="78C0D4" w:themeColor="accent5" w:themeTint="BF"/>
              <w:left w:val="single" w:sz="8" w:space="0" w:color="78C0D4" w:themeColor="accent5" w:themeTint="BF"/>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NEFA≥0.7毫当量/升</w:t>
            </w:r>
          </w:p>
        </w:tc>
        <w:tc>
          <w:tcPr>
            <w:tcW w:w="0" w:type="auto"/>
            <w:tcBorders>
              <w:top w:val="single" w:sz="8" w:space="0" w:color="78C0D4" w:themeColor="accent5" w:themeTint="BF"/>
              <w:left w:val="nil"/>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41</w:t>
            </w:r>
          </w:p>
        </w:tc>
        <w:tc>
          <w:tcPr>
            <w:tcW w:w="0" w:type="auto"/>
            <w:tcBorders>
              <w:top w:val="single" w:sz="8" w:space="0" w:color="78C0D4" w:themeColor="accent5" w:themeTint="BF"/>
              <w:left w:val="nil"/>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-3.9</w:t>
            </w:r>
          </w:p>
        </w:tc>
        <w:tc>
          <w:tcPr>
            <w:tcW w:w="0" w:type="auto"/>
            <w:tcBorders>
              <w:top w:val="single" w:sz="8" w:space="0" w:color="78C0D4" w:themeColor="accent5" w:themeTint="BF"/>
              <w:left w:val="nil"/>
              <w:bottom w:val="nil"/>
              <w:right w:val="single" w:sz="8" w:space="0" w:color="78C0D4" w:themeColor="accent5" w:themeTint="BF"/>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0.001</w:t>
            </w:r>
          </w:p>
        </w:tc>
      </w:tr>
      <w:tr w:rsidR="00CA1488" w:rsidRPr="00CA1488" w:rsidTr="009B1524">
        <w:trPr>
          <w:jc w:val="center"/>
        </w:trPr>
        <w:tc>
          <w:tcPr>
            <w:tcW w:w="0" w:type="auto"/>
            <w:tcBorders>
              <w:top w:val="nil"/>
              <w:left w:val="single" w:sz="8" w:space="0" w:color="78C0D4" w:themeColor="accent5" w:themeTint="BF"/>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lastRenderedPageBreak/>
              <w:t>BHBA≥1400毫摩尔/升</w:t>
            </w:r>
          </w:p>
        </w:tc>
        <w:tc>
          <w:tcPr>
            <w:tcW w:w="0" w:type="auto"/>
            <w:tcBorders>
              <w:top w:val="nil"/>
              <w:left w:val="nil"/>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12</w:t>
            </w:r>
          </w:p>
        </w:tc>
        <w:tc>
          <w:tcPr>
            <w:tcW w:w="0" w:type="auto"/>
            <w:tcBorders>
              <w:top w:val="nil"/>
              <w:left w:val="nil"/>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-5.3</w:t>
            </w:r>
          </w:p>
        </w:tc>
        <w:tc>
          <w:tcPr>
            <w:tcW w:w="0" w:type="auto"/>
            <w:tcBorders>
              <w:top w:val="nil"/>
              <w:left w:val="nil"/>
              <w:bottom w:val="nil"/>
              <w:right w:val="single" w:sz="8" w:space="0" w:color="78C0D4" w:themeColor="accent5" w:themeTint="BF"/>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＜0.001</w:t>
            </w:r>
          </w:p>
        </w:tc>
      </w:tr>
      <w:tr w:rsidR="00CA1488" w:rsidRPr="00CA1488" w:rsidTr="009B1524">
        <w:trPr>
          <w:trHeight w:val="634"/>
          <w:jc w:val="center"/>
        </w:trPr>
        <w:tc>
          <w:tcPr>
            <w:tcW w:w="0" w:type="auto"/>
            <w:tcBorders>
              <w:top w:val="nil"/>
              <w:left w:val="single" w:sz="8" w:space="0" w:color="78C0D4" w:themeColor="accent5" w:themeTint="BF"/>
              <w:bottom w:val="single" w:sz="8" w:space="0" w:color="78C0D4" w:themeColor="accent5" w:themeTint="BF"/>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钙≤2.1毫摩尔/升</w:t>
            </w:r>
          </w:p>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（8.4毫克/100毫升）</w:t>
            </w:r>
          </w:p>
        </w:tc>
        <w:tc>
          <w:tcPr>
            <w:tcW w:w="0" w:type="auto"/>
            <w:tcBorders>
              <w:top w:val="nil"/>
              <w:left w:val="nil"/>
              <w:bottom w:val="single" w:sz="8" w:space="0" w:color="78C0D4" w:themeColor="accent5" w:themeTint="BF"/>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23</w:t>
            </w:r>
          </w:p>
        </w:tc>
        <w:tc>
          <w:tcPr>
            <w:tcW w:w="0" w:type="auto"/>
            <w:tcBorders>
              <w:top w:val="nil"/>
              <w:left w:val="nil"/>
              <w:bottom w:val="single" w:sz="8" w:space="0" w:color="78C0D4" w:themeColor="accent5" w:themeTint="BF"/>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-5.7</w:t>
            </w:r>
          </w:p>
        </w:tc>
        <w:tc>
          <w:tcPr>
            <w:tcW w:w="0" w:type="auto"/>
            <w:tcBorders>
              <w:top w:val="nil"/>
              <w:left w:val="nil"/>
              <w:bottom w:val="single" w:sz="8" w:space="0" w:color="78C0D4" w:themeColor="accent5" w:themeTint="BF"/>
              <w:right w:val="single" w:sz="8" w:space="0" w:color="78C0D4" w:themeColor="accent5" w:themeTint="BF"/>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＜0.001</w:t>
            </w:r>
          </w:p>
        </w:tc>
      </w:tr>
      <w:tr w:rsidR="00CA1488" w:rsidRPr="00CA1488" w:rsidTr="009B1524">
        <w:trPr>
          <w:jc w:val="center"/>
        </w:trPr>
        <w:tc>
          <w:tcPr>
            <w:tcW w:w="0" w:type="auto"/>
            <w:tcBorders>
              <w:top w:val="single" w:sz="8" w:space="0" w:color="78C0D4" w:themeColor="accent5" w:themeTint="BF"/>
              <w:left w:val="single" w:sz="8" w:space="0" w:color="78C0D4" w:themeColor="accent5" w:themeTint="BF"/>
              <w:bottom w:val="single" w:sz="8" w:space="0" w:color="78C0D4" w:themeColor="accent5" w:themeTint="BF"/>
              <w:right w:val="nil"/>
            </w:tcBorders>
            <w:shd w:val="clear" w:color="auto" w:fill="D2EAF1" w:themeFill="accent5" w:themeFillTint="3F"/>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产后第二周</w:t>
            </w:r>
          </w:p>
        </w:tc>
        <w:tc>
          <w:tcPr>
            <w:tcW w:w="0" w:type="auto"/>
            <w:tcBorders>
              <w:top w:val="single" w:sz="8" w:space="0" w:color="78C0D4" w:themeColor="accent5" w:themeTint="BF"/>
              <w:left w:val="nil"/>
              <w:bottom w:val="single" w:sz="8" w:space="0" w:color="78C0D4" w:themeColor="accent5" w:themeTint="BF"/>
              <w:right w:val="nil"/>
            </w:tcBorders>
            <w:shd w:val="clear" w:color="auto" w:fill="D2EAF1" w:themeFill="accent5" w:themeFillTint="3F"/>
            <w:vAlign w:val="center"/>
            <w:hideMark/>
          </w:tcPr>
          <w:p w:rsidR="00CA1488" w:rsidRPr="00CA1488" w:rsidRDefault="00CA1488" w:rsidP="009B1524">
            <w:pPr>
              <w:widowControl/>
              <w:jc w:val="left"/>
              <w:rPr>
                <w:rFonts w:ascii="Arial" w:eastAsia="宋体" w:hAnsi="Arial" w:cs="Arial"/>
                <w:color w:val="828282"/>
                <w:kern w:val="0"/>
                <w:sz w:val="30"/>
                <w:szCs w:val="30"/>
              </w:rPr>
            </w:pPr>
          </w:p>
        </w:tc>
        <w:tc>
          <w:tcPr>
            <w:tcW w:w="0" w:type="auto"/>
            <w:tcBorders>
              <w:top w:val="single" w:sz="8" w:space="0" w:color="78C0D4" w:themeColor="accent5" w:themeTint="BF"/>
              <w:left w:val="nil"/>
              <w:bottom w:val="single" w:sz="8" w:space="0" w:color="78C0D4" w:themeColor="accent5" w:themeTint="BF"/>
              <w:right w:val="nil"/>
            </w:tcBorders>
            <w:shd w:val="clear" w:color="auto" w:fill="D2EAF1" w:themeFill="accent5" w:themeFillTint="3F"/>
            <w:vAlign w:val="center"/>
            <w:hideMark/>
          </w:tcPr>
          <w:p w:rsidR="00CA1488" w:rsidRPr="00CA1488" w:rsidRDefault="00CA1488" w:rsidP="009B1524">
            <w:pPr>
              <w:widowControl/>
              <w:jc w:val="left"/>
              <w:rPr>
                <w:rFonts w:ascii="Arial" w:eastAsia="宋体" w:hAnsi="Arial" w:cs="Arial"/>
                <w:color w:val="828282"/>
                <w:kern w:val="0"/>
                <w:sz w:val="30"/>
                <w:szCs w:val="30"/>
              </w:rPr>
            </w:pPr>
          </w:p>
        </w:tc>
        <w:tc>
          <w:tcPr>
            <w:tcW w:w="0" w:type="auto"/>
            <w:tcBorders>
              <w:top w:val="single" w:sz="8" w:space="0" w:color="78C0D4" w:themeColor="accent5" w:themeTint="BF"/>
              <w:left w:val="nil"/>
              <w:bottom w:val="single" w:sz="8" w:space="0" w:color="78C0D4" w:themeColor="accent5" w:themeTint="BF"/>
              <w:right w:val="single" w:sz="8" w:space="0" w:color="78C0D4" w:themeColor="accent5" w:themeTint="BF"/>
            </w:tcBorders>
            <w:shd w:val="clear" w:color="auto" w:fill="D2EAF1" w:themeFill="accent5" w:themeFillTint="3F"/>
            <w:vAlign w:val="center"/>
            <w:hideMark/>
          </w:tcPr>
          <w:p w:rsidR="00CA1488" w:rsidRPr="00CA1488" w:rsidRDefault="00CA1488" w:rsidP="009B1524">
            <w:pPr>
              <w:widowControl/>
              <w:jc w:val="left"/>
              <w:rPr>
                <w:rFonts w:ascii="Arial" w:eastAsia="宋体" w:hAnsi="Arial" w:cs="Arial"/>
                <w:color w:val="828282"/>
                <w:kern w:val="0"/>
                <w:sz w:val="30"/>
                <w:szCs w:val="30"/>
              </w:rPr>
            </w:pPr>
          </w:p>
        </w:tc>
      </w:tr>
      <w:tr w:rsidR="00CA1488" w:rsidRPr="00CA1488" w:rsidTr="009B1524">
        <w:trPr>
          <w:jc w:val="center"/>
        </w:trPr>
        <w:tc>
          <w:tcPr>
            <w:tcW w:w="0" w:type="auto"/>
            <w:tcBorders>
              <w:top w:val="single" w:sz="8" w:space="0" w:color="78C0D4" w:themeColor="accent5" w:themeTint="BF"/>
              <w:left w:val="single" w:sz="8" w:space="0" w:color="78C0D4" w:themeColor="accent5" w:themeTint="BF"/>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NEFA≥0.7毫当量/升</w:t>
            </w:r>
          </w:p>
        </w:tc>
        <w:tc>
          <w:tcPr>
            <w:tcW w:w="0" w:type="auto"/>
            <w:tcBorders>
              <w:top w:val="single" w:sz="8" w:space="0" w:color="78C0D4" w:themeColor="accent5" w:themeTint="BF"/>
              <w:left w:val="nil"/>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12</w:t>
            </w:r>
          </w:p>
        </w:tc>
        <w:tc>
          <w:tcPr>
            <w:tcW w:w="0" w:type="auto"/>
            <w:tcBorders>
              <w:top w:val="single" w:sz="8" w:space="0" w:color="78C0D4" w:themeColor="accent5" w:themeTint="BF"/>
              <w:left w:val="nil"/>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-3.7</w:t>
            </w:r>
          </w:p>
        </w:tc>
        <w:tc>
          <w:tcPr>
            <w:tcW w:w="0" w:type="auto"/>
            <w:tcBorders>
              <w:top w:val="single" w:sz="8" w:space="0" w:color="78C0D4" w:themeColor="accent5" w:themeTint="BF"/>
              <w:left w:val="nil"/>
              <w:bottom w:val="nil"/>
              <w:right w:val="single" w:sz="8" w:space="0" w:color="78C0D4" w:themeColor="accent5" w:themeTint="BF"/>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0.03</w:t>
            </w:r>
          </w:p>
        </w:tc>
      </w:tr>
      <w:tr w:rsidR="00CA1488" w:rsidRPr="00CA1488" w:rsidTr="009B1524">
        <w:trPr>
          <w:jc w:val="center"/>
        </w:trPr>
        <w:tc>
          <w:tcPr>
            <w:tcW w:w="0" w:type="auto"/>
            <w:tcBorders>
              <w:top w:val="nil"/>
              <w:left w:val="single" w:sz="8" w:space="0" w:color="78C0D4" w:themeColor="accent5" w:themeTint="BF"/>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BHBA≥1400毫摩尔/升</w:t>
            </w:r>
          </w:p>
        </w:tc>
        <w:tc>
          <w:tcPr>
            <w:tcW w:w="0" w:type="auto"/>
            <w:tcBorders>
              <w:top w:val="nil"/>
              <w:left w:val="nil"/>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20</w:t>
            </w:r>
          </w:p>
        </w:tc>
        <w:tc>
          <w:tcPr>
            <w:tcW w:w="0" w:type="auto"/>
            <w:tcBorders>
              <w:top w:val="nil"/>
              <w:left w:val="nil"/>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-3.3</w:t>
            </w:r>
          </w:p>
        </w:tc>
        <w:tc>
          <w:tcPr>
            <w:tcW w:w="0" w:type="auto"/>
            <w:tcBorders>
              <w:top w:val="nil"/>
              <w:left w:val="nil"/>
              <w:bottom w:val="nil"/>
              <w:right w:val="single" w:sz="8" w:space="0" w:color="78C0D4" w:themeColor="accent5" w:themeTint="BF"/>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0.01</w:t>
            </w:r>
          </w:p>
        </w:tc>
      </w:tr>
      <w:tr w:rsidR="00CA1488" w:rsidRPr="00CA1488" w:rsidTr="009B1524">
        <w:trPr>
          <w:jc w:val="center"/>
        </w:trPr>
        <w:tc>
          <w:tcPr>
            <w:tcW w:w="0" w:type="auto"/>
            <w:tcBorders>
              <w:top w:val="nil"/>
              <w:left w:val="single" w:sz="8" w:space="0" w:color="78C0D4" w:themeColor="accent5" w:themeTint="BF"/>
              <w:bottom w:val="single" w:sz="8" w:space="0" w:color="78C0D4" w:themeColor="accent5" w:themeTint="BF"/>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钙≤2.1毫摩尔/升</w:t>
            </w:r>
          </w:p>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（8.4毫克/100毫升）</w:t>
            </w:r>
          </w:p>
        </w:tc>
        <w:tc>
          <w:tcPr>
            <w:tcW w:w="0" w:type="auto"/>
            <w:tcBorders>
              <w:top w:val="nil"/>
              <w:left w:val="nil"/>
              <w:bottom w:val="single" w:sz="8" w:space="0" w:color="78C0D4" w:themeColor="accent5" w:themeTint="BF"/>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8</w:t>
            </w:r>
          </w:p>
        </w:tc>
        <w:tc>
          <w:tcPr>
            <w:tcW w:w="0" w:type="auto"/>
            <w:tcBorders>
              <w:top w:val="nil"/>
              <w:left w:val="nil"/>
              <w:bottom w:val="single" w:sz="8" w:space="0" w:color="78C0D4" w:themeColor="accent5" w:themeTint="BF"/>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-10.5</w:t>
            </w:r>
          </w:p>
        </w:tc>
        <w:tc>
          <w:tcPr>
            <w:tcW w:w="0" w:type="auto"/>
            <w:tcBorders>
              <w:top w:val="nil"/>
              <w:left w:val="nil"/>
              <w:bottom w:val="single" w:sz="8" w:space="0" w:color="78C0D4" w:themeColor="accent5" w:themeTint="BF"/>
              <w:right w:val="single" w:sz="8" w:space="0" w:color="78C0D4" w:themeColor="accent5" w:themeTint="BF"/>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＜0.001</w:t>
            </w:r>
          </w:p>
        </w:tc>
      </w:tr>
      <w:tr w:rsidR="00CA1488" w:rsidRPr="00CA1488" w:rsidTr="009B1524">
        <w:trPr>
          <w:jc w:val="center"/>
        </w:trPr>
        <w:tc>
          <w:tcPr>
            <w:tcW w:w="0" w:type="auto"/>
            <w:tcBorders>
              <w:top w:val="single" w:sz="8" w:space="0" w:color="78C0D4" w:themeColor="accent5" w:themeTint="BF"/>
              <w:left w:val="single" w:sz="8" w:space="0" w:color="78C0D4" w:themeColor="accent5" w:themeTint="BF"/>
              <w:bottom w:val="single" w:sz="8" w:space="0" w:color="78C0D4" w:themeColor="accent5" w:themeTint="BF"/>
              <w:right w:val="nil"/>
            </w:tcBorders>
            <w:shd w:val="clear" w:color="auto" w:fill="D2EAF1" w:themeFill="accent5" w:themeFillTint="3F"/>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产后第三周</w:t>
            </w:r>
          </w:p>
        </w:tc>
        <w:tc>
          <w:tcPr>
            <w:tcW w:w="0" w:type="auto"/>
            <w:tcBorders>
              <w:top w:val="single" w:sz="8" w:space="0" w:color="78C0D4" w:themeColor="accent5" w:themeTint="BF"/>
              <w:left w:val="nil"/>
              <w:bottom w:val="single" w:sz="8" w:space="0" w:color="78C0D4" w:themeColor="accent5" w:themeTint="BF"/>
              <w:right w:val="nil"/>
            </w:tcBorders>
            <w:shd w:val="clear" w:color="auto" w:fill="D2EAF1" w:themeFill="accent5" w:themeFillTint="3F"/>
            <w:vAlign w:val="center"/>
            <w:hideMark/>
          </w:tcPr>
          <w:p w:rsidR="00CA1488" w:rsidRPr="00CA1488" w:rsidRDefault="00CA1488" w:rsidP="009B1524">
            <w:pPr>
              <w:widowControl/>
              <w:jc w:val="left"/>
              <w:rPr>
                <w:rFonts w:ascii="Arial" w:eastAsia="宋体" w:hAnsi="Arial" w:cs="Arial"/>
                <w:color w:val="828282"/>
                <w:kern w:val="0"/>
                <w:sz w:val="30"/>
                <w:szCs w:val="30"/>
              </w:rPr>
            </w:pPr>
          </w:p>
        </w:tc>
        <w:tc>
          <w:tcPr>
            <w:tcW w:w="0" w:type="auto"/>
            <w:tcBorders>
              <w:top w:val="single" w:sz="8" w:space="0" w:color="78C0D4" w:themeColor="accent5" w:themeTint="BF"/>
              <w:left w:val="nil"/>
              <w:bottom w:val="single" w:sz="8" w:space="0" w:color="78C0D4" w:themeColor="accent5" w:themeTint="BF"/>
              <w:right w:val="nil"/>
            </w:tcBorders>
            <w:shd w:val="clear" w:color="auto" w:fill="D2EAF1" w:themeFill="accent5" w:themeFillTint="3F"/>
            <w:vAlign w:val="center"/>
            <w:hideMark/>
          </w:tcPr>
          <w:p w:rsidR="00CA1488" w:rsidRPr="00CA1488" w:rsidRDefault="00CA1488" w:rsidP="009B1524">
            <w:pPr>
              <w:widowControl/>
              <w:jc w:val="left"/>
              <w:rPr>
                <w:rFonts w:ascii="Arial" w:eastAsia="宋体" w:hAnsi="Arial" w:cs="Arial"/>
                <w:color w:val="828282"/>
                <w:kern w:val="0"/>
                <w:sz w:val="30"/>
                <w:szCs w:val="30"/>
              </w:rPr>
            </w:pPr>
          </w:p>
        </w:tc>
        <w:tc>
          <w:tcPr>
            <w:tcW w:w="0" w:type="auto"/>
            <w:tcBorders>
              <w:top w:val="single" w:sz="8" w:space="0" w:color="78C0D4" w:themeColor="accent5" w:themeTint="BF"/>
              <w:left w:val="nil"/>
              <w:bottom w:val="single" w:sz="8" w:space="0" w:color="78C0D4" w:themeColor="accent5" w:themeTint="BF"/>
              <w:right w:val="single" w:sz="8" w:space="0" w:color="78C0D4" w:themeColor="accent5" w:themeTint="BF"/>
            </w:tcBorders>
            <w:shd w:val="clear" w:color="auto" w:fill="D2EAF1" w:themeFill="accent5" w:themeFillTint="3F"/>
            <w:vAlign w:val="center"/>
            <w:hideMark/>
          </w:tcPr>
          <w:p w:rsidR="00CA1488" w:rsidRPr="00CA1488" w:rsidRDefault="00CA1488" w:rsidP="009B1524">
            <w:pPr>
              <w:widowControl/>
              <w:jc w:val="left"/>
              <w:rPr>
                <w:rFonts w:ascii="Arial" w:eastAsia="宋体" w:hAnsi="Arial" w:cs="Arial"/>
                <w:color w:val="828282"/>
                <w:kern w:val="0"/>
                <w:sz w:val="30"/>
                <w:szCs w:val="30"/>
              </w:rPr>
            </w:pPr>
          </w:p>
        </w:tc>
      </w:tr>
      <w:tr w:rsidR="00CA1488" w:rsidRPr="00CA1488" w:rsidTr="009B1524">
        <w:trPr>
          <w:jc w:val="center"/>
        </w:trPr>
        <w:tc>
          <w:tcPr>
            <w:tcW w:w="0" w:type="auto"/>
            <w:tcBorders>
              <w:top w:val="single" w:sz="8" w:space="0" w:color="78C0D4" w:themeColor="accent5" w:themeTint="BF"/>
              <w:left w:val="single" w:sz="8" w:space="0" w:color="78C0D4" w:themeColor="accent5" w:themeTint="BF"/>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NEFA≥0.7毫当量/升</w:t>
            </w:r>
          </w:p>
        </w:tc>
        <w:tc>
          <w:tcPr>
            <w:tcW w:w="0" w:type="auto"/>
            <w:tcBorders>
              <w:top w:val="single" w:sz="8" w:space="0" w:color="78C0D4" w:themeColor="accent5" w:themeTint="BF"/>
              <w:left w:val="nil"/>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0</w:t>
            </w:r>
          </w:p>
        </w:tc>
        <w:tc>
          <w:tcPr>
            <w:tcW w:w="0" w:type="auto"/>
            <w:tcBorders>
              <w:top w:val="single" w:sz="8" w:space="0" w:color="78C0D4" w:themeColor="accent5" w:themeTint="BF"/>
              <w:left w:val="nil"/>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无相差</w:t>
            </w:r>
          </w:p>
        </w:tc>
        <w:tc>
          <w:tcPr>
            <w:tcW w:w="0" w:type="auto"/>
            <w:tcBorders>
              <w:top w:val="single" w:sz="8" w:space="0" w:color="78C0D4" w:themeColor="accent5" w:themeTint="BF"/>
              <w:left w:val="nil"/>
              <w:bottom w:val="nil"/>
              <w:right w:val="single" w:sz="8" w:space="0" w:color="78C0D4" w:themeColor="accent5" w:themeTint="BF"/>
            </w:tcBorders>
            <w:vAlign w:val="center"/>
            <w:hideMark/>
          </w:tcPr>
          <w:p w:rsidR="00CA1488" w:rsidRPr="00CA1488" w:rsidRDefault="00CA1488" w:rsidP="009B1524">
            <w:pPr>
              <w:widowControl/>
              <w:jc w:val="left"/>
              <w:rPr>
                <w:rFonts w:ascii="Arial" w:eastAsia="宋体" w:hAnsi="Arial" w:cs="Arial"/>
                <w:color w:val="828282"/>
                <w:kern w:val="0"/>
                <w:sz w:val="30"/>
                <w:szCs w:val="30"/>
              </w:rPr>
            </w:pPr>
          </w:p>
        </w:tc>
      </w:tr>
      <w:tr w:rsidR="00CA1488" w:rsidRPr="00CA1488" w:rsidTr="009B1524">
        <w:trPr>
          <w:jc w:val="center"/>
        </w:trPr>
        <w:tc>
          <w:tcPr>
            <w:tcW w:w="0" w:type="auto"/>
            <w:tcBorders>
              <w:top w:val="nil"/>
              <w:left w:val="single" w:sz="8" w:space="0" w:color="78C0D4" w:themeColor="accent5" w:themeTint="BF"/>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000000" w:themeColor="text1"/>
                <w:kern w:val="0"/>
                <w:sz w:val="30"/>
                <w:szCs w:val="30"/>
              </w:rPr>
              <w:t>BHBA≥1400毫摩尔/升</w:t>
            </w:r>
          </w:p>
        </w:tc>
        <w:tc>
          <w:tcPr>
            <w:tcW w:w="0" w:type="auto"/>
            <w:tcBorders>
              <w:top w:val="nil"/>
              <w:left w:val="nil"/>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000000" w:themeColor="text1"/>
                <w:kern w:val="0"/>
                <w:sz w:val="30"/>
                <w:szCs w:val="30"/>
              </w:rPr>
              <w:t>0</w:t>
            </w:r>
          </w:p>
        </w:tc>
        <w:tc>
          <w:tcPr>
            <w:tcW w:w="0" w:type="auto"/>
            <w:tcBorders>
              <w:top w:val="nil"/>
              <w:left w:val="nil"/>
              <w:bottom w:val="nil"/>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000000" w:themeColor="text1"/>
                <w:kern w:val="0"/>
                <w:sz w:val="30"/>
                <w:szCs w:val="30"/>
              </w:rPr>
              <w:t>无相差</w:t>
            </w:r>
          </w:p>
        </w:tc>
        <w:tc>
          <w:tcPr>
            <w:tcW w:w="0" w:type="auto"/>
            <w:tcBorders>
              <w:top w:val="nil"/>
              <w:left w:val="nil"/>
              <w:bottom w:val="nil"/>
              <w:right w:val="single" w:sz="8" w:space="0" w:color="78C0D4" w:themeColor="accent5" w:themeTint="BF"/>
            </w:tcBorders>
            <w:vAlign w:val="center"/>
            <w:hideMark/>
          </w:tcPr>
          <w:p w:rsidR="00CA1488" w:rsidRPr="00CA1488" w:rsidRDefault="00CA1488" w:rsidP="009B1524">
            <w:pPr>
              <w:widowControl/>
              <w:jc w:val="left"/>
              <w:rPr>
                <w:rFonts w:ascii="Arial" w:eastAsia="宋体" w:hAnsi="Arial" w:cs="Arial"/>
                <w:color w:val="828282"/>
                <w:kern w:val="0"/>
                <w:sz w:val="30"/>
                <w:szCs w:val="30"/>
              </w:rPr>
            </w:pPr>
          </w:p>
        </w:tc>
      </w:tr>
      <w:tr w:rsidR="00CA1488" w:rsidRPr="00CA1488" w:rsidTr="009B1524">
        <w:trPr>
          <w:jc w:val="center"/>
        </w:trPr>
        <w:tc>
          <w:tcPr>
            <w:tcW w:w="0" w:type="auto"/>
            <w:tcBorders>
              <w:top w:val="nil"/>
              <w:left w:val="single" w:sz="8" w:space="0" w:color="78C0D4" w:themeColor="accent5" w:themeTint="BF"/>
              <w:bottom w:val="single" w:sz="8" w:space="0" w:color="78C0D4" w:themeColor="accent5" w:themeTint="BF"/>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钙≤2.1毫摩尔/升</w:t>
            </w:r>
          </w:p>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（8.4毫克/100毫升）</w:t>
            </w:r>
          </w:p>
        </w:tc>
        <w:tc>
          <w:tcPr>
            <w:tcW w:w="0" w:type="auto"/>
            <w:tcBorders>
              <w:top w:val="nil"/>
              <w:left w:val="nil"/>
              <w:bottom w:val="single" w:sz="8" w:space="0" w:color="78C0D4" w:themeColor="accent5" w:themeTint="BF"/>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4</w:t>
            </w:r>
          </w:p>
        </w:tc>
        <w:tc>
          <w:tcPr>
            <w:tcW w:w="0" w:type="auto"/>
            <w:tcBorders>
              <w:top w:val="nil"/>
              <w:left w:val="nil"/>
              <w:bottom w:val="single" w:sz="8" w:space="0" w:color="78C0D4" w:themeColor="accent5" w:themeTint="BF"/>
              <w:right w:val="nil"/>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-15.6</w:t>
            </w:r>
          </w:p>
        </w:tc>
        <w:tc>
          <w:tcPr>
            <w:tcW w:w="0" w:type="auto"/>
            <w:tcBorders>
              <w:top w:val="nil"/>
              <w:left w:val="nil"/>
              <w:bottom w:val="single" w:sz="8" w:space="0" w:color="78C0D4" w:themeColor="accent5" w:themeTint="BF"/>
              <w:right w:val="single" w:sz="8" w:space="0" w:color="78C0D4" w:themeColor="accent5" w:themeTint="BF"/>
            </w:tcBorders>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color w:val="828282"/>
                <w:kern w:val="0"/>
                <w:sz w:val="30"/>
                <w:szCs w:val="30"/>
              </w:rPr>
              <w:t>＜0.001</w:t>
            </w:r>
          </w:p>
        </w:tc>
      </w:tr>
      <w:tr w:rsidR="00CA1488" w:rsidRPr="00CA1488" w:rsidTr="009B1524">
        <w:trPr>
          <w:jc w:val="center"/>
        </w:trPr>
        <w:tc>
          <w:tcPr>
            <w:tcW w:w="0" w:type="auto"/>
            <w:gridSpan w:val="4"/>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D2EAF1" w:themeFill="accent5" w:themeFillTint="3F"/>
            <w:vAlign w:val="center"/>
            <w:hideMark/>
          </w:tcPr>
          <w:p w:rsidR="00CA1488" w:rsidRPr="00CA1488" w:rsidRDefault="00CA1488" w:rsidP="009B1524">
            <w:pPr>
              <w:widowControl/>
              <w:spacing w:before="100" w:beforeAutospacing="1" w:after="100" w:afterAutospacing="1"/>
              <w:jc w:val="center"/>
              <w:rPr>
                <w:rFonts w:ascii="宋体" w:eastAsia="宋体" w:hAnsi="宋体" w:cs="宋体"/>
                <w:color w:val="828282"/>
                <w:kern w:val="0"/>
                <w:sz w:val="30"/>
                <w:szCs w:val="30"/>
              </w:rPr>
            </w:pPr>
            <w:r w:rsidRPr="00CA1488">
              <w:rPr>
                <w:rFonts w:asciiTheme="minorEastAsia" w:hAnsiTheme="minorEastAsia" w:cs="Times New Roman" w:hint="eastAsia"/>
                <w:b/>
                <w:bCs/>
                <w:color w:val="828282"/>
                <w:kern w:val="0"/>
                <w:sz w:val="30"/>
                <w:szCs w:val="30"/>
              </w:rPr>
              <w:t>来源：摘自Chapinal等，2012</w:t>
            </w:r>
          </w:p>
        </w:tc>
      </w:tr>
    </w:tbl>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b/>
          <w:bCs/>
          <w:color w:val="2B2B2B"/>
          <w:kern w:val="0"/>
          <w:sz w:val="30"/>
          <w:szCs w:val="30"/>
        </w:rPr>
        <w:t>隐藏的疾病成本</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虽然我们对围产母牛的钙代谢已经有所了解，但并不完全。这导致为了维持合理的钙浓度和减少临床和亚临床低血钙症发病率的目的，在母牛产犊前的饲喂上存在着相当大的推荐差异。</w:t>
      </w:r>
      <w:r w:rsidRPr="00CA1488">
        <w:rPr>
          <w:rFonts w:ascii="Arial" w:eastAsia="宋体" w:hAnsi="Arial" w:cs="Arial"/>
          <w:color w:val="2B2B2B"/>
          <w:kern w:val="0"/>
          <w:sz w:val="30"/>
          <w:szCs w:val="30"/>
        </w:rPr>
        <w:lastRenderedPageBreak/>
        <w:t>这种推荐上的差异，在于行业内有关亚临床低血钙症的合理限定值上还存在不同的争议。</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用于确定亚临床低血钙症的传统血钙浓度是每</w:t>
      </w:r>
      <w:r w:rsidRPr="00CA1488">
        <w:rPr>
          <w:rFonts w:ascii="Arial" w:eastAsia="宋体" w:hAnsi="Arial" w:cs="Arial"/>
          <w:color w:val="2B2B2B"/>
          <w:kern w:val="0"/>
          <w:sz w:val="30"/>
          <w:szCs w:val="30"/>
        </w:rPr>
        <w:t>100</w:t>
      </w:r>
      <w:r w:rsidRPr="00CA1488">
        <w:rPr>
          <w:rFonts w:ascii="Arial" w:eastAsia="宋体" w:hAnsi="Arial" w:cs="Arial"/>
          <w:color w:val="2B2B2B"/>
          <w:kern w:val="0"/>
          <w:sz w:val="30"/>
          <w:szCs w:val="30"/>
        </w:rPr>
        <w:t>毫升</w:t>
      </w:r>
      <w:r w:rsidRPr="00CA1488">
        <w:rPr>
          <w:rFonts w:ascii="Arial" w:eastAsia="宋体" w:hAnsi="Arial" w:cs="Arial"/>
          <w:color w:val="2B2B2B"/>
          <w:kern w:val="0"/>
          <w:sz w:val="30"/>
          <w:szCs w:val="30"/>
        </w:rPr>
        <w:t>8.0</w:t>
      </w:r>
      <w:r w:rsidRPr="00CA1488">
        <w:rPr>
          <w:rFonts w:ascii="Arial" w:eastAsia="宋体" w:hAnsi="Arial" w:cs="Arial"/>
          <w:color w:val="2B2B2B"/>
          <w:kern w:val="0"/>
          <w:sz w:val="30"/>
          <w:szCs w:val="30"/>
        </w:rPr>
        <w:t>毫克，但近期的研究挑战了这一传统的阀值，并建议围产期母牛更为合理的血钙浓度在每</w:t>
      </w:r>
      <w:r w:rsidRPr="00CA1488">
        <w:rPr>
          <w:rFonts w:ascii="Arial" w:eastAsia="宋体" w:hAnsi="Arial" w:cs="Arial"/>
          <w:color w:val="2B2B2B"/>
          <w:kern w:val="0"/>
          <w:sz w:val="30"/>
          <w:szCs w:val="30"/>
        </w:rPr>
        <w:t>100</w:t>
      </w:r>
      <w:r w:rsidRPr="00CA1488">
        <w:rPr>
          <w:rFonts w:ascii="Arial" w:eastAsia="宋体" w:hAnsi="Arial" w:cs="Arial"/>
          <w:color w:val="2B2B2B"/>
          <w:kern w:val="0"/>
          <w:sz w:val="30"/>
          <w:szCs w:val="30"/>
        </w:rPr>
        <w:t>毫升</w:t>
      </w:r>
      <w:r w:rsidRPr="00CA1488">
        <w:rPr>
          <w:rFonts w:ascii="Arial" w:eastAsia="宋体" w:hAnsi="Arial" w:cs="Arial"/>
          <w:color w:val="2B2B2B"/>
          <w:kern w:val="0"/>
          <w:sz w:val="30"/>
          <w:szCs w:val="30"/>
        </w:rPr>
        <w:t>8.5</w:t>
      </w:r>
      <w:r w:rsidRPr="00CA1488">
        <w:rPr>
          <w:rFonts w:ascii="Arial" w:eastAsia="宋体" w:hAnsi="Arial" w:cs="Arial"/>
          <w:color w:val="2B2B2B"/>
          <w:kern w:val="0"/>
          <w:sz w:val="30"/>
          <w:szCs w:val="30"/>
        </w:rPr>
        <w:t>毫克或以上。采用提升的亚临床低血钙症阀值水平至每</w:t>
      </w:r>
      <w:r w:rsidRPr="00CA1488">
        <w:rPr>
          <w:rFonts w:ascii="Arial" w:eastAsia="宋体" w:hAnsi="Arial" w:cs="Arial"/>
          <w:color w:val="2B2B2B"/>
          <w:kern w:val="0"/>
          <w:sz w:val="30"/>
          <w:szCs w:val="30"/>
        </w:rPr>
        <w:t xml:space="preserve">100 </w:t>
      </w:r>
      <w:r w:rsidRPr="00CA1488">
        <w:rPr>
          <w:rFonts w:ascii="Arial" w:eastAsia="宋体" w:hAnsi="Arial" w:cs="Arial"/>
          <w:color w:val="2B2B2B"/>
          <w:kern w:val="0"/>
          <w:sz w:val="30"/>
          <w:szCs w:val="30"/>
        </w:rPr>
        <w:t>毫升</w:t>
      </w:r>
      <w:r w:rsidRPr="00CA1488">
        <w:rPr>
          <w:rFonts w:ascii="Arial" w:eastAsia="宋体" w:hAnsi="Arial" w:cs="Arial"/>
          <w:color w:val="2B2B2B"/>
          <w:kern w:val="0"/>
          <w:sz w:val="30"/>
          <w:szCs w:val="30"/>
        </w:rPr>
        <w:t>8.5</w:t>
      </w:r>
      <w:r w:rsidRPr="00CA1488">
        <w:rPr>
          <w:rFonts w:ascii="Arial" w:eastAsia="宋体" w:hAnsi="Arial" w:cs="Arial"/>
          <w:color w:val="2B2B2B"/>
          <w:kern w:val="0"/>
          <w:sz w:val="30"/>
          <w:szCs w:val="30"/>
        </w:rPr>
        <w:t>毫克，并应用衣阿华州</w:t>
      </w:r>
      <w:r w:rsidRPr="00CA1488">
        <w:rPr>
          <w:rFonts w:ascii="Arial" w:eastAsia="宋体" w:hAnsi="Arial" w:cs="Arial"/>
          <w:color w:val="2B2B2B"/>
          <w:kern w:val="0"/>
          <w:sz w:val="30"/>
          <w:szCs w:val="30"/>
        </w:rPr>
        <w:t>Ames</w:t>
      </w:r>
      <w:r w:rsidRPr="00CA1488">
        <w:rPr>
          <w:rFonts w:ascii="Arial" w:eastAsia="宋体" w:hAnsi="Arial" w:cs="Arial"/>
          <w:color w:val="2B2B2B"/>
          <w:kern w:val="0"/>
          <w:sz w:val="30"/>
          <w:szCs w:val="30"/>
        </w:rPr>
        <w:t>全国动物疾病预防中心</w:t>
      </w:r>
      <w:r w:rsidRPr="00CA1488">
        <w:rPr>
          <w:rFonts w:ascii="Arial" w:eastAsia="宋体" w:hAnsi="Arial" w:cs="Arial"/>
          <w:color w:val="2B2B2B"/>
          <w:kern w:val="0"/>
          <w:sz w:val="30"/>
          <w:szCs w:val="30"/>
        </w:rPr>
        <w:t>2011</w:t>
      </w:r>
      <w:r w:rsidRPr="00CA1488">
        <w:rPr>
          <w:rFonts w:ascii="Arial" w:eastAsia="宋体" w:hAnsi="Arial" w:cs="Arial"/>
          <w:color w:val="2B2B2B"/>
          <w:kern w:val="0"/>
          <w:sz w:val="30"/>
          <w:szCs w:val="30"/>
        </w:rPr>
        <w:t>年的资料，亚临床低血钙症在第一、二和三胎次母牛的发生率，将分别从</w:t>
      </w:r>
      <w:r w:rsidRPr="00CA1488">
        <w:rPr>
          <w:rFonts w:ascii="Arial" w:eastAsia="宋体" w:hAnsi="Arial" w:cs="Arial"/>
          <w:color w:val="2B2B2B"/>
          <w:kern w:val="0"/>
          <w:sz w:val="30"/>
          <w:szCs w:val="30"/>
        </w:rPr>
        <w:t xml:space="preserve"> 25%</w:t>
      </w:r>
      <w:r w:rsidRPr="00CA1488">
        <w:rPr>
          <w:rFonts w:ascii="Arial" w:eastAsia="宋体" w:hAnsi="Arial" w:cs="Arial"/>
          <w:color w:val="2B2B2B"/>
          <w:kern w:val="0"/>
          <w:sz w:val="30"/>
          <w:szCs w:val="30"/>
        </w:rPr>
        <w:t>上升至</w:t>
      </w:r>
      <w:r w:rsidRPr="00CA1488">
        <w:rPr>
          <w:rFonts w:ascii="Arial" w:eastAsia="宋体" w:hAnsi="Arial" w:cs="Arial"/>
          <w:color w:val="2B2B2B"/>
          <w:kern w:val="0"/>
          <w:sz w:val="30"/>
          <w:szCs w:val="30"/>
        </w:rPr>
        <w:t>51%</w:t>
      </w:r>
      <w:r w:rsidRPr="00CA1488">
        <w:rPr>
          <w:rFonts w:ascii="Arial" w:eastAsia="宋体" w:hAnsi="Arial" w:cs="Arial"/>
          <w:color w:val="2B2B2B"/>
          <w:kern w:val="0"/>
          <w:sz w:val="30"/>
          <w:szCs w:val="30"/>
        </w:rPr>
        <w:t>，从</w:t>
      </w:r>
      <w:r w:rsidRPr="00CA1488">
        <w:rPr>
          <w:rFonts w:ascii="Arial" w:eastAsia="宋体" w:hAnsi="Arial" w:cs="Arial"/>
          <w:color w:val="2B2B2B"/>
          <w:kern w:val="0"/>
          <w:sz w:val="30"/>
          <w:szCs w:val="30"/>
        </w:rPr>
        <w:t>41%</w:t>
      </w:r>
      <w:r w:rsidRPr="00CA1488">
        <w:rPr>
          <w:rFonts w:ascii="Arial" w:eastAsia="宋体" w:hAnsi="Arial" w:cs="Arial"/>
          <w:color w:val="2B2B2B"/>
          <w:kern w:val="0"/>
          <w:sz w:val="30"/>
          <w:szCs w:val="30"/>
        </w:rPr>
        <w:t>至</w:t>
      </w:r>
      <w:r w:rsidRPr="00CA1488">
        <w:rPr>
          <w:rFonts w:ascii="Arial" w:eastAsia="宋体" w:hAnsi="Arial" w:cs="Arial"/>
          <w:color w:val="2B2B2B"/>
          <w:kern w:val="0"/>
          <w:sz w:val="30"/>
          <w:szCs w:val="30"/>
        </w:rPr>
        <w:t>61%</w:t>
      </w:r>
      <w:r w:rsidRPr="00CA1488">
        <w:rPr>
          <w:rFonts w:ascii="Arial" w:eastAsia="宋体" w:hAnsi="Arial" w:cs="Arial"/>
          <w:color w:val="2B2B2B"/>
          <w:kern w:val="0"/>
          <w:sz w:val="30"/>
          <w:szCs w:val="30"/>
        </w:rPr>
        <w:t>和</w:t>
      </w:r>
      <w:r w:rsidRPr="00CA1488">
        <w:rPr>
          <w:rFonts w:ascii="Arial" w:eastAsia="宋体" w:hAnsi="Arial" w:cs="Arial"/>
          <w:color w:val="2B2B2B"/>
          <w:kern w:val="0"/>
          <w:sz w:val="30"/>
          <w:szCs w:val="30"/>
        </w:rPr>
        <w:t xml:space="preserve"> 49%</w:t>
      </w:r>
      <w:r w:rsidRPr="00CA1488">
        <w:rPr>
          <w:rFonts w:ascii="Arial" w:eastAsia="宋体" w:hAnsi="Arial" w:cs="Arial"/>
          <w:color w:val="2B2B2B"/>
          <w:kern w:val="0"/>
          <w:sz w:val="30"/>
          <w:szCs w:val="30"/>
        </w:rPr>
        <w:t>至</w:t>
      </w:r>
      <w:r w:rsidRPr="00CA1488">
        <w:rPr>
          <w:rFonts w:ascii="Arial" w:eastAsia="宋体" w:hAnsi="Arial" w:cs="Arial"/>
          <w:color w:val="2B2B2B"/>
          <w:kern w:val="0"/>
          <w:sz w:val="30"/>
          <w:szCs w:val="30"/>
        </w:rPr>
        <w:t>67%</w:t>
      </w:r>
      <w:r w:rsidRPr="00CA1488">
        <w:rPr>
          <w:rFonts w:ascii="Arial" w:eastAsia="宋体" w:hAnsi="Arial" w:cs="Arial"/>
          <w:color w:val="2B2B2B"/>
          <w:kern w:val="0"/>
          <w:sz w:val="30"/>
          <w:szCs w:val="30"/>
        </w:rPr>
        <w:t>。</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虽然临床型低血钙症</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产乳热</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的每个病例，比亚临床低血钙症有更显著的成本和费用，但在一般的奶牛场，亚临床低血钙症的发生率远高于临床型病例的</w:t>
      </w:r>
      <w:r w:rsidRPr="00CA1488">
        <w:rPr>
          <w:rFonts w:ascii="Arial" w:eastAsia="宋体" w:hAnsi="Arial" w:cs="Arial"/>
          <w:color w:val="2B2B2B"/>
          <w:kern w:val="0"/>
          <w:sz w:val="30"/>
          <w:szCs w:val="30"/>
        </w:rPr>
        <w:t>15</w:t>
      </w:r>
      <w:r w:rsidRPr="00CA1488">
        <w:rPr>
          <w:rFonts w:ascii="Arial" w:eastAsia="宋体" w:hAnsi="Arial" w:cs="Arial"/>
          <w:color w:val="2B2B2B"/>
          <w:kern w:val="0"/>
          <w:sz w:val="30"/>
          <w:szCs w:val="30"/>
        </w:rPr>
        <w:t>倍，因而亚临床低血钙症造成的损失，实际上远大于临床型低血钙症。</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b/>
          <w:bCs/>
          <w:color w:val="2B2B2B"/>
          <w:kern w:val="0"/>
          <w:sz w:val="30"/>
          <w:szCs w:val="30"/>
        </w:rPr>
        <w:t>近期的研究</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发表在乳业科学杂志上的近期研究，支持了两个重要的概念，即</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color w:val="2B2B2B"/>
          <w:kern w:val="0"/>
          <w:sz w:val="30"/>
          <w:szCs w:val="30"/>
        </w:rPr>
        <w:t>1.</w:t>
      </w:r>
      <w:r w:rsidRPr="00CA1488">
        <w:rPr>
          <w:rFonts w:ascii="Arial" w:eastAsia="宋体" w:hAnsi="Arial" w:cs="Arial"/>
          <w:color w:val="2B2B2B"/>
          <w:kern w:val="0"/>
          <w:sz w:val="30"/>
          <w:szCs w:val="30"/>
        </w:rPr>
        <w:t>产犊前和产犊后的亚临床低血钙症，对奶产量和繁殖都有明显的负面影响。</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lastRenderedPageBreak/>
        <w:t xml:space="preserve">　　</w:t>
      </w:r>
      <w:r w:rsidRPr="00CA1488">
        <w:rPr>
          <w:rFonts w:ascii="Arial" w:eastAsia="宋体" w:hAnsi="Arial" w:cs="Arial"/>
          <w:color w:val="2B2B2B"/>
          <w:kern w:val="0"/>
          <w:sz w:val="30"/>
          <w:szCs w:val="30"/>
        </w:rPr>
        <w:t>2.</w:t>
      </w:r>
      <w:r w:rsidRPr="00CA1488">
        <w:rPr>
          <w:rFonts w:ascii="Arial" w:eastAsia="宋体" w:hAnsi="Arial" w:cs="Arial"/>
          <w:color w:val="2B2B2B"/>
          <w:kern w:val="0"/>
          <w:sz w:val="30"/>
          <w:szCs w:val="30"/>
        </w:rPr>
        <w:t>提升亚临床低血钙症的阀值水平从每</w:t>
      </w:r>
      <w:r w:rsidRPr="00CA1488">
        <w:rPr>
          <w:rFonts w:ascii="Arial" w:eastAsia="宋体" w:hAnsi="Arial" w:cs="Arial"/>
          <w:color w:val="2B2B2B"/>
          <w:kern w:val="0"/>
          <w:sz w:val="30"/>
          <w:szCs w:val="30"/>
        </w:rPr>
        <w:t>100</w:t>
      </w:r>
      <w:r w:rsidRPr="00CA1488">
        <w:rPr>
          <w:rFonts w:ascii="Arial" w:eastAsia="宋体" w:hAnsi="Arial" w:cs="Arial"/>
          <w:color w:val="2B2B2B"/>
          <w:kern w:val="0"/>
          <w:sz w:val="30"/>
          <w:szCs w:val="30"/>
        </w:rPr>
        <w:t>毫升的</w:t>
      </w:r>
      <w:r w:rsidRPr="00CA1488">
        <w:rPr>
          <w:rFonts w:ascii="Arial" w:eastAsia="宋体" w:hAnsi="Arial" w:cs="Arial"/>
          <w:color w:val="2B2B2B"/>
          <w:kern w:val="0"/>
          <w:sz w:val="30"/>
          <w:szCs w:val="30"/>
        </w:rPr>
        <w:t>8.0</w:t>
      </w:r>
      <w:r w:rsidRPr="00CA1488">
        <w:rPr>
          <w:rFonts w:ascii="Arial" w:eastAsia="宋体" w:hAnsi="Arial" w:cs="Arial"/>
          <w:color w:val="2B2B2B"/>
          <w:kern w:val="0"/>
          <w:sz w:val="30"/>
          <w:szCs w:val="30"/>
        </w:rPr>
        <w:t>毫克至</w:t>
      </w:r>
      <w:r w:rsidRPr="00CA1488">
        <w:rPr>
          <w:rFonts w:ascii="Arial" w:eastAsia="宋体" w:hAnsi="Arial" w:cs="Arial"/>
          <w:color w:val="2B2B2B"/>
          <w:kern w:val="0"/>
          <w:sz w:val="30"/>
          <w:szCs w:val="30"/>
        </w:rPr>
        <w:t>8.5</w:t>
      </w:r>
      <w:r w:rsidRPr="00CA1488">
        <w:rPr>
          <w:rFonts w:ascii="Arial" w:eastAsia="宋体" w:hAnsi="Arial" w:cs="Arial"/>
          <w:color w:val="2B2B2B"/>
          <w:kern w:val="0"/>
          <w:sz w:val="30"/>
          <w:szCs w:val="30"/>
        </w:rPr>
        <w:t>毫克，更适合于描述对动物健康和生产性能负面影响点的开始。</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在一项具有</w:t>
      </w:r>
      <w:r w:rsidRPr="00CA1488">
        <w:rPr>
          <w:rFonts w:ascii="Arial" w:eastAsia="宋体" w:hAnsi="Arial" w:cs="Arial"/>
          <w:color w:val="2B2B2B"/>
          <w:kern w:val="0"/>
          <w:sz w:val="30"/>
          <w:szCs w:val="30"/>
        </w:rPr>
        <w:t>55</w:t>
      </w:r>
      <w:r w:rsidRPr="00CA1488">
        <w:rPr>
          <w:rFonts w:ascii="Arial" w:eastAsia="宋体" w:hAnsi="Arial" w:cs="Arial"/>
          <w:color w:val="2B2B2B"/>
          <w:kern w:val="0"/>
          <w:sz w:val="30"/>
          <w:szCs w:val="30"/>
        </w:rPr>
        <w:t>个牛群和</w:t>
      </w:r>
      <w:r w:rsidRPr="00CA1488">
        <w:rPr>
          <w:rFonts w:ascii="Arial" w:eastAsia="宋体" w:hAnsi="Arial" w:cs="Arial"/>
          <w:color w:val="2B2B2B"/>
          <w:kern w:val="0"/>
          <w:sz w:val="30"/>
          <w:szCs w:val="30"/>
        </w:rPr>
        <w:t>1900</w:t>
      </w:r>
      <w:r w:rsidRPr="00CA1488">
        <w:rPr>
          <w:rFonts w:ascii="Arial" w:eastAsia="宋体" w:hAnsi="Arial" w:cs="Arial"/>
          <w:color w:val="2B2B2B"/>
          <w:kern w:val="0"/>
          <w:sz w:val="30"/>
          <w:szCs w:val="30"/>
        </w:rPr>
        <w:t>多头母牛的研究中，研究者指明了两个关键点：</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color w:val="2B2B2B"/>
          <w:kern w:val="0"/>
          <w:sz w:val="30"/>
          <w:szCs w:val="30"/>
        </w:rPr>
        <w:t>1.</w:t>
      </w:r>
      <w:r w:rsidRPr="00CA1488">
        <w:rPr>
          <w:rFonts w:ascii="Arial" w:eastAsia="宋体" w:hAnsi="Arial" w:cs="Arial"/>
          <w:color w:val="2B2B2B"/>
          <w:kern w:val="0"/>
          <w:sz w:val="30"/>
          <w:szCs w:val="30"/>
        </w:rPr>
        <w:t>在产犊前一周内，高风险母牛</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血钙浓度相当或小于每</w:t>
      </w:r>
      <w:r w:rsidRPr="00CA1488">
        <w:rPr>
          <w:rFonts w:ascii="Arial" w:eastAsia="宋体" w:hAnsi="Arial" w:cs="Arial"/>
          <w:color w:val="2B2B2B"/>
          <w:kern w:val="0"/>
          <w:sz w:val="30"/>
          <w:szCs w:val="30"/>
        </w:rPr>
        <w:t>100</w:t>
      </w:r>
      <w:r w:rsidRPr="00CA1488">
        <w:rPr>
          <w:rFonts w:ascii="Arial" w:eastAsia="宋体" w:hAnsi="Arial" w:cs="Arial"/>
          <w:color w:val="2B2B2B"/>
          <w:kern w:val="0"/>
          <w:sz w:val="30"/>
          <w:szCs w:val="30"/>
        </w:rPr>
        <w:t>毫升</w:t>
      </w:r>
      <w:r w:rsidRPr="00CA1488">
        <w:rPr>
          <w:rFonts w:ascii="Arial" w:eastAsia="宋体" w:hAnsi="Arial" w:cs="Arial"/>
          <w:color w:val="2B2B2B"/>
          <w:kern w:val="0"/>
          <w:sz w:val="30"/>
          <w:szCs w:val="30"/>
        </w:rPr>
        <w:t>8.4</w:t>
      </w:r>
      <w:r w:rsidRPr="00CA1488">
        <w:rPr>
          <w:rFonts w:ascii="Arial" w:eastAsia="宋体" w:hAnsi="Arial" w:cs="Arial"/>
          <w:color w:val="2B2B2B"/>
          <w:kern w:val="0"/>
          <w:sz w:val="30"/>
          <w:szCs w:val="30"/>
        </w:rPr>
        <w:t>毫克的母牛</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，比低风险母牛</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每</w:t>
      </w:r>
      <w:r w:rsidRPr="00CA1488">
        <w:rPr>
          <w:rFonts w:ascii="Arial" w:eastAsia="宋体" w:hAnsi="Arial" w:cs="Arial"/>
          <w:color w:val="2B2B2B"/>
          <w:kern w:val="0"/>
          <w:sz w:val="30"/>
          <w:szCs w:val="30"/>
        </w:rPr>
        <w:t>100</w:t>
      </w:r>
      <w:r w:rsidRPr="00CA1488">
        <w:rPr>
          <w:rFonts w:ascii="Arial" w:eastAsia="宋体" w:hAnsi="Arial" w:cs="Arial"/>
          <w:color w:val="2B2B2B"/>
          <w:kern w:val="0"/>
          <w:sz w:val="30"/>
          <w:szCs w:val="30"/>
        </w:rPr>
        <w:t>毫升高于</w:t>
      </w:r>
      <w:r w:rsidRPr="00CA1488">
        <w:rPr>
          <w:rFonts w:ascii="Arial" w:eastAsia="宋体" w:hAnsi="Arial" w:cs="Arial"/>
          <w:color w:val="2B2B2B"/>
          <w:kern w:val="0"/>
          <w:sz w:val="30"/>
          <w:szCs w:val="30"/>
        </w:rPr>
        <w:t>8.4</w:t>
      </w:r>
      <w:r w:rsidRPr="00CA1488">
        <w:rPr>
          <w:rFonts w:ascii="Arial" w:eastAsia="宋体" w:hAnsi="Arial" w:cs="Arial"/>
          <w:color w:val="2B2B2B"/>
          <w:kern w:val="0"/>
          <w:sz w:val="30"/>
          <w:szCs w:val="30"/>
        </w:rPr>
        <w:t>毫克的母牛</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，在产犊后前</w:t>
      </w:r>
      <w:r w:rsidRPr="00CA1488">
        <w:rPr>
          <w:rFonts w:ascii="Arial" w:eastAsia="宋体" w:hAnsi="Arial" w:cs="Arial"/>
          <w:color w:val="2B2B2B"/>
          <w:kern w:val="0"/>
          <w:sz w:val="30"/>
          <w:szCs w:val="30"/>
        </w:rPr>
        <w:t>4</w:t>
      </w:r>
      <w:r w:rsidRPr="00CA1488">
        <w:rPr>
          <w:rFonts w:ascii="Arial" w:eastAsia="宋体" w:hAnsi="Arial" w:cs="Arial"/>
          <w:color w:val="2B2B2B"/>
          <w:kern w:val="0"/>
          <w:sz w:val="30"/>
          <w:szCs w:val="30"/>
        </w:rPr>
        <w:t>次</w:t>
      </w:r>
      <w:r w:rsidRPr="00CA1488">
        <w:rPr>
          <w:rFonts w:ascii="Arial" w:eastAsia="宋体" w:hAnsi="Arial" w:cs="Arial"/>
          <w:color w:val="2B2B2B"/>
          <w:kern w:val="0"/>
          <w:sz w:val="30"/>
          <w:szCs w:val="30"/>
        </w:rPr>
        <w:t>DHI</w:t>
      </w:r>
      <w:r w:rsidRPr="00CA1488">
        <w:rPr>
          <w:rFonts w:ascii="Arial" w:eastAsia="宋体" w:hAnsi="Arial" w:cs="Arial"/>
          <w:color w:val="2B2B2B"/>
          <w:kern w:val="0"/>
          <w:sz w:val="30"/>
          <w:szCs w:val="30"/>
        </w:rPr>
        <w:t>测定中少产奶</w:t>
      </w:r>
      <w:r w:rsidRPr="00CA1488">
        <w:rPr>
          <w:rFonts w:ascii="Arial" w:eastAsia="宋体" w:hAnsi="Arial" w:cs="Arial"/>
          <w:color w:val="2B2B2B"/>
          <w:kern w:val="0"/>
          <w:sz w:val="30"/>
          <w:szCs w:val="30"/>
        </w:rPr>
        <w:t>3.18kg</w:t>
      </w:r>
      <w:r w:rsidRPr="00CA1488">
        <w:rPr>
          <w:rFonts w:ascii="Arial" w:eastAsia="宋体" w:hAnsi="Arial" w:cs="Arial"/>
          <w:color w:val="2B2B2B"/>
          <w:kern w:val="0"/>
          <w:sz w:val="30"/>
          <w:szCs w:val="30"/>
        </w:rPr>
        <w:t>。</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color w:val="2B2B2B"/>
          <w:kern w:val="0"/>
          <w:sz w:val="30"/>
          <w:szCs w:val="30"/>
        </w:rPr>
        <w:t>2.</w:t>
      </w:r>
      <w:r w:rsidRPr="00CA1488">
        <w:rPr>
          <w:rFonts w:ascii="Arial" w:eastAsia="宋体" w:hAnsi="Arial" w:cs="Arial"/>
          <w:color w:val="2B2B2B"/>
          <w:kern w:val="0"/>
          <w:sz w:val="30"/>
          <w:szCs w:val="30"/>
        </w:rPr>
        <w:t>在产犊后</w:t>
      </w:r>
      <w:r w:rsidRPr="00CA1488">
        <w:rPr>
          <w:rFonts w:ascii="Arial" w:eastAsia="宋体" w:hAnsi="Arial" w:cs="Arial"/>
          <w:color w:val="2B2B2B"/>
          <w:kern w:val="0"/>
          <w:sz w:val="30"/>
          <w:szCs w:val="30"/>
        </w:rPr>
        <w:t>1</w:t>
      </w:r>
      <w:r w:rsidRPr="00CA1488">
        <w:rPr>
          <w:rFonts w:ascii="Arial" w:eastAsia="宋体" w:hAnsi="Arial" w:cs="Arial"/>
          <w:color w:val="2B2B2B"/>
          <w:kern w:val="0"/>
          <w:sz w:val="30"/>
          <w:szCs w:val="30"/>
        </w:rPr>
        <w:t>周、</w:t>
      </w:r>
      <w:r w:rsidRPr="00CA1488">
        <w:rPr>
          <w:rFonts w:ascii="Arial" w:eastAsia="宋体" w:hAnsi="Arial" w:cs="Arial"/>
          <w:color w:val="2B2B2B"/>
          <w:kern w:val="0"/>
          <w:sz w:val="30"/>
          <w:szCs w:val="30"/>
        </w:rPr>
        <w:t>2</w:t>
      </w:r>
      <w:r w:rsidRPr="00CA1488">
        <w:rPr>
          <w:rFonts w:ascii="Arial" w:eastAsia="宋体" w:hAnsi="Arial" w:cs="Arial"/>
          <w:color w:val="2B2B2B"/>
          <w:kern w:val="0"/>
          <w:sz w:val="30"/>
          <w:szCs w:val="30"/>
        </w:rPr>
        <w:t>周和</w:t>
      </w:r>
      <w:r w:rsidRPr="00CA1488">
        <w:rPr>
          <w:rFonts w:ascii="Arial" w:eastAsia="宋体" w:hAnsi="Arial" w:cs="Arial"/>
          <w:color w:val="2B2B2B"/>
          <w:kern w:val="0"/>
          <w:sz w:val="30"/>
          <w:szCs w:val="30"/>
        </w:rPr>
        <w:t>3</w:t>
      </w:r>
      <w:r w:rsidRPr="00CA1488">
        <w:rPr>
          <w:rFonts w:ascii="Arial" w:eastAsia="宋体" w:hAnsi="Arial" w:cs="Arial"/>
          <w:color w:val="2B2B2B"/>
          <w:kern w:val="0"/>
          <w:sz w:val="30"/>
          <w:szCs w:val="30"/>
        </w:rPr>
        <w:t>周内列入高风险群的母牛，比低风险群的母牛在第</w:t>
      </w:r>
      <w:r w:rsidRPr="00CA1488">
        <w:rPr>
          <w:rFonts w:ascii="Arial" w:eastAsia="宋体" w:hAnsi="Arial" w:cs="Arial"/>
          <w:color w:val="2B2B2B"/>
          <w:kern w:val="0"/>
          <w:sz w:val="30"/>
          <w:szCs w:val="30"/>
        </w:rPr>
        <w:t>1</w:t>
      </w:r>
      <w:r w:rsidRPr="00CA1488">
        <w:rPr>
          <w:rFonts w:ascii="Arial" w:eastAsia="宋体" w:hAnsi="Arial" w:cs="Arial"/>
          <w:color w:val="2B2B2B"/>
          <w:kern w:val="0"/>
          <w:sz w:val="30"/>
          <w:szCs w:val="30"/>
        </w:rPr>
        <w:t>次</w:t>
      </w:r>
      <w:r w:rsidRPr="00CA1488">
        <w:rPr>
          <w:rFonts w:ascii="Arial" w:eastAsia="宋体" w:hAnsi="Arial" w:cs="Arial"/>
          <w:color w:val="2B2B2B"/>
          <w:kern w:val="0"/>
          <w:sz w:val="30"/>
          <w:szCs w:val="30"/>
        </w:rPr>
        <w:t>DHI</w:t>
      </w:r>
      <w:r w:rsidRPr="00CA1488">
        <w:rPr>
          <w:rFonts w:ascii="Arial" w:eastAsia="宋体" w:hAnsi="Arial" w:cs="Arial"/>
          <w:color w:val="2B2B2B"/>
          <w:kern w:val="0"/>
          <w:sz w:val="30"/>
          <w:szCs w:val="30"/>
        </w:rPr>
        <w:t>测定中产奶量明显减少</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见表</w:t>
      </w:r>
      <w:r w:rsidRPr="00CA1488">
        <w:rPr>
          <w:rFonts w:ascii="Arial" w:eastAsia="宋体" w:hAnsi="Arial" w:cs="Arial"/>
          <w:color w:val="2B2B2B"/>
          <w:kern w:val="0"/>
          <w:sz w:val="30"/>
          <w:szCs w:val="30"/>
        </w:rPr>
        <w:t>1)</w:t>
      </w:r>
      <w:r w:rsidRPr="00CA1488">
        <w:rPr>
          <w:rFonts w:ascii="Arial" w:eastAsia="宋体" w:hAnsi="Arial" w:cs="Arial"/>
          <w:color w:val="2B2B2B"/>
          <w:kern w:val="0"/>
          <w:sz w:val="30"/>
          <w:szCs w:val="30"/>
        </w:rPr>
        <w:t>。这说明产犊前和产犊后的低血钙浓度，都对泌乳早期的奶产量有明显的负面影响。</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在考虑减少亚临床低血钙症的策略时，这是需要留意或记住的一个重点。用口服的产品治疗，虽然对临床型低血钙症和产犊后的母牛有效，但却没有注意到产犊前的亚临床低血钙症对奶产量的负面影响。</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产犊前后时间内的钙状态已显著影响了繁殖。研究报道，具有每</w:t>
      </w:r>
      <w:r w:rsidRPr="00CA1488">
        <w:rPr>
          <w:rFonts w:ascii="Arial" w:eastAsia="宋体" w:hAnsi="Arial" w:cs="Arial"/>
          <w:color w:val="2B2B2B"/>
          <w:kern w:val="0"/>
          <w:sz w:val="30"/>
          <w:szCs w:val="30"/>
        </w:rPr>
        <w:t>100</w:t>
      </w:r>
      <w:r w:rsidRPr="00CA1488">
        <w:rPr>
          <w:rFonts w:ascii="Arial" w:eastAsia="宋体" w:hAnsi="Arial" w:cs="Arial"/>
          <w:color w:val="2B2B2B"/>
          <w:kern w:val="0"/>
          <w:sz w:val="30"/>
          <w:szCs w:val="30"/>
        </w:rPr>
        <w:t>毫升多于</w:t>
      </w:r>
      <w:r w:rsidRPr="00CA1488">
        <w:rPr>
          <w:rFonts w:ascii="Arial" w:eastAsia="宋体" w:hAnsi="Arial" w:cs="Arial"/>
          <w:color w:val="2B2B2B"/>
          <w:kern w:val="0"/>
          <w:sz w:val="30"/>
          <w:szCs w:val="30"/>
        </w:rPr>
        <w:t>9.2</w:t>
      </w:r>
      <w:r w:rsidRPr="00CA1488">
        <w:rPr>
          <w:rFonts w:ascii="Arial" w:eastAsia="宋体" w:hAnsi="Arial" w:cs="Arial"/>
          <w:color w:val="2B2B2B"/>
          <w:kern w:val="0"/>
          <w:sz w:val="30"/>
          <w:szCs w:val="30"/>
        </w:rPr>
        <w:t>毫克血钙浓度的母牛，在产后第一次人工授精中有可能多</w:t>
      </w:r>
      <w:r w:rsidRPr="00CA1488">
        <w:rPr>
          <w:rFonts w:ascii="Arial" w:eastAsia="宋体" w:hAnsi="Arial" w:cs="Arial"/>
          <w:color w:val="2B2B2B"/>
          <w:kern w:val="0"/>
          <w:sz w:val="30"/>
          <w:szCs w:val="30"/>
        </w:rPr>
        <w:t>1.5</w:t>
      </w:r>
      <w:r w:rsidRPr="00CA1488">
        <w:rPr>
          <w:rFonts w:ascii="Arial" w:eastAsia="宋体" w:hAnsi="Arial" w:cs="Arial"/>
          <w:color w:val="2B2B2B"/>
          <w:kern w:val="0"/>
          <w:sz w:val="30"/>
          <w:szCs w:val="30"/>
        </w:rPr>
        <w:t>倍的受孕率。如果母牛在泌乳开始的前</w:t>
      </w:r>
      <w:r w:rsidRPr="00CA1488">
        <w:rPr>
          <w:rFonts w:ascii="Arial" w:eastAsia="宋体" w:hAnsi="Arial" w:cs="Arial"/>
          <w:color w:val="2B2B2B"/>
          <w:kern w:val="0"/>
          <w:sz w:val="30"/>
          <w:szCs w:val="30"/>
        </w:rPr>
        <w:t>3</w:t>
      </w:r>
      <w:r w:rsidRPr="00CA1488">
        <w:rPr>
          <w:rFonts w:ascii="Arial" w:eastAsia="宋体" w:hAnsi="Arial" w:cs="Arial"/>
          <w:color w:val="2B2B2B"/>
          <w:kern w:val="0"/>
          <w:sz w:val="30"/>
          <w:szCs w:val="30"/>
        </w:rPr>
        <w:t>周</w:t>
      </w:r>
      <w:r w:rsidRPr="00CA1488">
        <w:rPr>
          <w:rFonts w:ascii="Arial" w:eastAsia="宋体" w:hAnsi="Arial" w:cs="Arial"/>
          <w:color w:val="2B2B2B"/>
          <w:kern w:val="0"/>
          <w:sz w:val="30"/>
          <w:szCs w:val="30"/>
        </w:rPr>
        <w:lastRenderedPageBreak/>
        <w:t>期间有如下的血钙浓度，则第一次人工授精就有多</w:t>
      </w:r>
      <w:r w:rsidRPr="00CA1488">
        <w:rPr>
          <w:rFonts w:ascii="Arial" w:eastAsia="宋体" w:hAnsi="Arial" w:cs="Arial"/>
          <w:color w:val="2B2B2B"/>
          <w:kern w:val="0"/>
          <w:sz w:val="30"/>
          <w:szCs w:val="30"/>
        </w:rPr>
        <w:t>1.3</w:t>
      </w:r>
      <w:r w:rsidRPr="00CA1488">
        <w:rPr>
          <w:rFonts w:ascii="Arial" w:eastAsia="宋体" w:hAnsi="Arial" w:cs="Arial"/>
          <w:color w:val="2B2B2B"/>
          <w:kern w:val="0"/>
          <w:sz w:val="30"/>
          <w:szCs w:val="30"/>
        </w:rPr>
        <w:t>倍可能的受孕率：</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在产犊后</w:t>
      </w:r>
      <w:r w:rsidRPr="00CA1488">
        <w:rPr>
          <w:rFonts w:ascii="Arial" w:eastAsia="宋体" w:hAnsi="Arial" w:cs="Arial"/>
          <w:color w:val="2B2B2B"/>
          <w:kern w:val="0"/>
          <w:sz w:val="30"/>
          <w:szCs w:val="30"/>
        </w:rPr>
        <w:t>1</w:t>
      </w:r>
      <w:r w:rsidRPr="00CA1488">
        <w:rPr>
          <w:rFonts w:ascii="Arial" w:eastAsia="宋体" w:hAnsi="Arial" w:cs="Arial"/>
          <w:color w:val="2B2B2B"/>
          <w:kern w:val="0"/>
          <w:sz w:val="30"/>
          <w:szCs w:val="30"/>
        </w:rPr>
        <w:t>周：多于每</w:t>
      </w:r>
      <w:r w:rsidRPr="00CA1488">
        <w:rPr>
          <w:rFonts w:ascii="Arial" w:eastAsia="宋体" w:hAnsi="Arial" w:cs="Arial"/>
          <w:color w:val="2B2B2B"/>
          <w:kern w:val="0"/>
          <w:sz w:val="30"/>
          <w:szCs w:val="30"/>
        </w:rPr>
        <w:t>100</w:t>
      </w:r>
      <w:r w:rsidRPr="00CA1488">
        <w:rPr>
          <w:rFonts w:ascii="Arial" w:eastAsia="宋体" w:hAnsi="Arial" w:cs="Arial"/>
          <w:color w:val="2B2B2B"/>
          <w:kern w:val="0"/>
          <w:sz w:val="30"/>
          <w:szCs w:val="30"/>
        </w:rPr>
        <w:t>毫升</w:t>
      </w:r>
      <w:r w:rsidRPr="00CA1488">
        <w:rPr>
          <w:rFonts w:ascii="Arial" w:eastAsia="宋体" w:hAnsi="Arial" w:cs="Arial"/>
          <w:color w:val="2B2B2B"/>
          <w:kern w:val="0"/>
          <w:sz w:val="30"/>
          <w:szCs w:val="30"/>
        </w:rPr>
        <w:t>8.8</w:t>
      </w:r>
      <w:r w:rsidRPr="00CA1488">
        <w:rPr>
          <w:rFonts w:ascii="Arial" w:eastAsia="宋体" w:hAnsi="Arial" w:cs="Arial"/>
          <w:color w:val="2B2B2B"/>
          <w:kern w:val="0"/>
          <w:sz w:val="30"/>
          <w:szCs w:val="30"/>
        </w:rPr>
        <w:t>毫克</w:t>
      </w:r>
      <w:r w:rsidRPr="00CA1488">
        <w:rPr>
          <w:rFonts w:ascii="Arial" w:eastAsia="宋体" w:hAnsi="Arial" w:cs="Arial"/>
          <w:color w:val="2B2B2B"/>
          <w:kern w:val="0"/>
          <w:sz w:val="30"/>
          <w:szCs w:val="30"/>
        </w:rPr>
        <w:t>;</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在产犊后</w:t>
      </w:r>
      <w:r w:rsidRPr="00CA1488">
        <w:rPr>
          <w:rFonts w:ascii="Arial" w:eastAsia="宋体" w:hAnsi="Arial" w:cs="Arial"/>
          <w:color w:val="2B2B2B"/>
          <w:kern w:val="0"/>
          <w:sz w:val="30"/>
          <w:szCs w:val="30"/>
        </w:rPr>
        <w:t>2</w:t>
      </w:r>
      <w:r w:rsidRPr="00CA1488">
        <w:rPr>
          <w:rFonts w:ascii="Arial" w:eastAsia="宋体" w:hAnsi="Arial" w:cs="Arial"/>
          <w:color w:val="2B2B2B"/>
          <w:kern w:val="0"/>
          <w:sz w:val="30"/>
          <w:szCs w:val="30"/>
        </w:rPr>
        <w:t>周：多于每</w:t>
      </w:r>
      <w:r w:rsidRPr="00CA1488">
        <w:rPr>
          <w:rFonts w:ascii="Arial" w:eastAsia="宋体" w:hAnsi="Arial" w:cs="Arial"/>
          <w:color w:val="2B2B2B"/>
          <w:kern w:val="0"/>
          <w:sz w:val="30"/>
          <w:szCs w:val="30"/>
        </w:rPr>
        <w:t>100</w:t>
      </w:r>
      <w:r w:rsidRPr="00CA1488">
        <w:rPr>
          <w:rFonts w:ascii="Arial" w:eastAsia="宋体" w:hAnsi="Arial" w:cs="Arial"/>
          <w:color w:val="2B2B2B"/>
          <w:kern w:val="0"/>
          <w:sz w:val="30"/>
          <w:szCs w:val="30"/>
        </w:rPr>
        <w:t>毫升</w:t>
      </w:r>
      <w:r w:rsidRPr="00CA1488">
        <w:rPr>
          <w:rFonts w:ascii="Arial" w:eastAsia="宋体" w:hAnsi="Arial" w:cs="Arial"/>
          <w:color w:val="2B2B2B"/>
          <w:kern w:val="0"/>
          <w:sz w:val="30"/>
          <w:szCs w:val="30"/>
        </w:rPr>
        <w:t>9.2</w:t>
      </w:r>
      <w:r w:rsidRPr="00CA1488">
        <w:rPr>
          <w:rFonts w:ascii="Arial" w:eastAsia="宋体" w:hAnsi="Arial" w:cs="Arial"/>
          <w:color w:val="2B2B2B"/>
          <w:kern w:val="0"/>
          <w:sz w:val="30"/>
          <w:szCs w:val="30"/>
        </w:rPr>
        <w:t>毫克</w:t>
      </w:r>
      <w:r w:rsidRPr="00CA1488">
        <w:rPr>
          <w:rFonts w:ascii="Arial" w:eastAsia="宋体" w:hAnsi="Arial" w:cs="Arial"/>
          <w:color w:val="2B2B2B"/>
          <w:kern w:val="0"/>
          <w:sz w:val="30"/>
          <w:szCs w:val="30"/>
        </w:rPr>
        <w:t>;</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在产犊后</w:t>
      </w:r>
      <w:r w:rsidRPr="00CA1488">
        <w:rPr>
          <w:rFonts w:ascii="Arial" w:eastAsia="宋体" w:hAnsi="Arial" w:cs="Arial"/>
          <w:color w:val="2B2B2B"/>
          <w:kern w:val="0"/>
          <w:sz w:val="30"/>
          <w:szCs w:val="30"/>
        </w:rPr>
        <w:t>3</w:t>
      </w:r>
      <w:r w:rsidRPr="00CA1488">
        <w:rPr>
          <w:rFonts w:ascii="Arial" w:eastAsia="宋体" w:hAnsi="Arial" w:cs="Arial"/>
          <w:color w:val="2B2B2B"/>
          <w:kern w:val="0"/>
          <w:sz w:val="30"/>
          <w:szCs w:val="30"/>
        </w:rPr>
        <w:t>周：多于每</w:t>
      </w:r>
      <w:r w:rsidRPr="00CA1488">
        <w:rPr>
          <w:rFonts w:ascii="Arial" w:eastAsia="宋体" w:hAnsi="Arial" w:cs="Arial"/>
          <w:color w:val="2B2B2B"/>
          <w:kern w:val="0"/>
          <w:sz w:val="30"/>
          <w:szCs w:val="30"/>
        </w:rPr>
        <w:t>100</w:t>
      </w:r>
      <w:r w:rsidRPr="00CA1488">
        <w:rPr>
          <w:rFonts w:ascii="Arial" w:eastAsia="宋体" w:hAnsi="Arial" w:cs="Arial"/>
          <w:color w:val="2B2B2B"/>
          <w:kern w:val="0"/>
          <w:sz w:val="30"/>
          <w:szCs w:val="30"/>
        </w:rPr>
        <w:t>毫升</w:t>
      </w:r>
      <w:r w:rsidRPr="00CA1488">
        <w:rPr>
          <w:rFonts w:ascii="Arial" w:eastAsia="宋体" w:hAnsi="Arial" w:cs="Arial"/>
          <w:color w:val="2B2B2B"/>
          <w:kern w:val="0"/>
          <w:sz w:val="30"/>
          <w:szCs w:val="30"/>
        </w:rPr>
        <w:t>9.6</w:t>
      </w:r>
      <w:r w:rsidRPr="00CA1488">
        <w:rPr>
          <w:rFonts w:ascii="Arial" w:eastAsia="宋体" w:hAnsi="Arial" w:cs="Arial"/>
          <w:color w:val="2B2B2B"/>
          <w:kern w:val="0"/>
          <w:sz w:val="30"/>
          <w:szCs w:val="30"/>
        </w:rPr>
        <w:t>毫克</w:t>
      </w:r>
      <w:r w:rsidRPr="00CA1488">
        <w:rPr>
          <w:rFonts w:ascii="Arial" w:eastAsia="宋体" w:hAnsi="Arial" w:cs="Arial"/>
          <w:color w:val="2B2B2B"/>
          <w:kern w:val="0"/>
          <w:sz w:val="30"/>
          <w:szCs w:val="30"/>
        </w:rPr>
        <w:t>;</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弗罗里达大学在</w:t>
      </w:r>
      <w:r w:rsidRPr="00CA1488">
        <w:rPr>
          <w:rFonts w:ascii="Arial" w:eastAsia="宋体" w:hAnsi="Arial" w:cs="Arial"/>
          <w:color w:val="2B2B2B"/>
          <w:kern w:val="0"/>
          <w:sz w:val="30"/>
          <w:szCs w:val="30"/>
        </w:rPr>
        <w:t>2012</w:t>
      </w:r>
      <w:r w:rsidRPr="00CA1488">
        <w:rPr>
          <w:rFonts w:ascii="Arial" w:eastAsia="宋体" w:hAnsi="Arial" w:cs="Arial"/>
          <w:color w:val="2B2B2B"/>
          <w:kern w:val="0"/>
          <w:sz w:val="30"/>
          <w:szCs w:val="30"/>
        </w:rPr>
        <w:t>年的研究，在他们监测泌乳开始的三天内，认为更合理的血钙浓度阀值可能在每</w:t>
      </w:r>
      <w:r w:rsidRPr="00CA1488">
        <w:rPr>
          <w:rFonts w:ascii="Arial" w:eastAsia="宋体" w:hAnsi="Arial" w:cs="Arial"/>
          <w:color w:val="2B2B2B"/>
          <w:kern w:val="0"/>
          <w:sz w:val="30"/>
          <w:szCs w:val="30"/>
        </w:rPr>
        <w:t>100</w:t>
      </w:r>
      <w:r w:rsidRPr="00CA1488">
        <w:rPr>
          <w:rFonts w:ascii="Arial" w:eastAsia="宋体" w:hAnsi="Arial" w:cs="Arial"/>
          <w:color w:val="2B2B2B"/>
          <w:kern w:val="0"/>
          <w:sz w:val="30"/>
          <w:szCs w:val="30"/>
        </w:rPr>
        <w:t>毫升</w:t>
      </w:r>
      <w:r w:rsidRPr="00CA1488">
        <w:rPr>
          <w:rFonts w:ascii="Arial" w:eastAsia="宋体" w:hAnsi="Arial" w:cs="Arial"/>
          <w:color w:val="2B2B2B"/>
          <w:kern w:val="0"/>
          <w:sz w:val="30"/>
          <w:szCs w:val="30"/>
        </w:rPr>
        <w:t xml:space="preserve">8.59 </w:t>
      </w:r>
      <w:r w:rsidRPr="00CA1488">
        <w:rPr>
          <w:rFonts w:ascii="Arial" w:eastAsia="宋体" w:hAnsi="Arial" w:cs="Arial"/>
          <w:color w:val="2B2B2B"/>
          <w:kern w:val="0"/>
          <w:sz w:val="30"/>
          <w:szCs w:val="30"/>
        </w:rPr>
        <w:t>毫克。研究者观察到，列为亚临床低血钙症的母牛处于发展为产乳热和子宫炎的较大风险中，比有合适血钙浓度的母牛具有较低的妊娠率和至妊娠的更长间隔。</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b/>
          <w:bCs/>
          <w:color w:val="2B2B2B"/>
          <w:kern w:val="0"/>
          <w:sz w:val="30"/>
          <w:szCs w:val="30"/>
        </w:rPr>
        <w:t xml:space="preserve">　为了成功的指导意见</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保持围产期母牛合理血钙浓度的好处已十分明确，包括代谢疾病的减少，较少的感染性疾病，较高的奶产量和更高的繁殖率。降低临床型和亚临床型低血钙症最为实用和有效的方法，是在产前饲喂负饲粮阳阴离子差</w:t>
      </w:r>
      <w:r w:rsidRPr="00CA1488">
        <w:rPr>
          <w:rFonts w:ascii="Arial" w:eastAsia="宋体" w:hAnsi="Arial" w:cs="Arial"/>
          <w:color w:val="2B2B2B"/>
          <w:kern w:val="0"/>
          <w:sz w:val="30"/>
          <w:szCs w:val="30"/>
        </w:rPr>
        <w:t>(DCAD)</w:t>
      </w:r>
      <w:r w:rsidRPr="00CA1488">
        <w:rPr>
          <w:rFonts w:ascii="Arial" w:eastAsia="宋体" w:hAnsi="Arial" w:cs="Arial"/>
          <w:color w:val="2B2B2B"/>
          <w:kern w:val="0"/>
          <w:sz w:val="30"/>
          <w:szCs w:val="30"/>
        </w:rPr>
        <w:t>的饲粮。为了管理一个成功的产前负</w:t>
      </w:r>
      <w:r w:rsidRPr="00CA1488">
        <w:rPr>
          <w:rFonts w:ascii="Arial" w:eastAsia="宋体" w:hAnsi="Arial" w:cs="Arial"/>
          <w:color w:val="2B2B2B"/>
          <w:kern w:val="0"/>
          <w:sz w:val="30"/>
          <w:szCs w:val="30"/>
        </w:rPr>
        <w:t>DCAD</w:t>
      </w:r>
      <w:r w:rsidRPr="00CA1488">
        <w:rPr>
          <w:rFonts w:ascii="Arial" w:eastAsia="宋体" w:hAnsi="Arial" w:cs="Arial"/>
          <w:color w:val="2B2B2B"/>
          <w:kern w:val="0"/>
          <w:sz w:val="30"/>
          <w:szCs w:val="30"/>
        </w:rPr>
        <w:t>饲粮，要考虑下述的指导意见：</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充分酸化的饲粮，使</w:t>
      </w:r>
      <w:r w:rsidRPr="00CA1488">
        <w:rPr>
          <w:rFonts w:ascii="Arial" w:eastAsia="宋体" w:hAnsi="Arial" w:cs="Arial"/>
          <w:color w:val="2B2B2B"/>
          <w:kern w:val="0"/>
          <w:sz w:val="30"/>
          <w:szCs w:val="30"/>
        </w:rPr>
        <w:t>DCAD</w:t>
      </w:r>
      <w:r w:rsidRPr="00CA1488">
        <w:rPr>
          <w:rFonts w:ascii="Arial" w:eastAsia="宋体" w:hAnsi="Arial" w:cs="Arial"/>
          <w:color w:val="2B2B2B"/>
          <w:kern w:val="0"/>
          <w:sz w:val="30"/>
          <w:szCs w:val="30"/>
        </w:rPr>
        <w:t>在</w:t>
      </w:r>
      <w:r w:rsidRPr="00CA1488">
        <w:rPr>
          <w:rFonts w:ascii="Arial" w:eastAsia="宋体" w:hAnsi="Arial" w:cs="Arial"/>
          <w:color w:val="2B2B2B"/>
          <w:kern w:val="0"/>
          <w:sz w:val="30"/>
          <w:szCs w:val="30"/>
        </w:rPr>
        <w:t>-10</w:t>
      </w:r>
      <w:r w:rsidRPr="00CA1488">
        <w:rPr>
          <w:rFonts w:ascii="Arial" w:eastAsia="宋体" w:hAnsi="Arial" w:cs="Arial"/>
          <w:color w:val="2B2B2B"/>
          <w:kern w:val="0"/>
          <w:sz w:val="30"/>
          <w:szCs w:val="30"/>
        </w:rPr>
        <w:t>至</w:t>
      </w:r>
      <w:r w:rsidRPr="00CA1488">
        <w:rPr>
          <w:rFonts w:ascii="Arial" w:eastAsia="宋体" w:hAnsi="Arial" w:cs="Arial"/>
          <w:color w:val="2B2B2B"/>
          <w:kern w:val="0"/>
          <w:sz w:val="30"/>
          <w:szCs w:val="30"/>
        </w:rPr>
        <w:t xml:space="preserve">-15 </w:t>
      </w:r>
      <w:r w:rsidRPr="00CA1488">
        <w:rPr>
          <w:rFonts w:ascii="Arial" w:eastAsia="宋体" w:hAnsi="Arial" w:cs="Arial"/>
          <w:color w:val="2B2B2B"/>
          <w:kern w:val="0"/>
          <w:sz w:val="30"/>
          <w:szCs w:val="30"/>
        </w:rPr>
        <w:t>毫克当量</w:t>
      </w:r>
      <w:r w:rsidRPr="00CA1488">
        <w:rPr>
          <w:rFonts w:ascii="Arial" w:eastAsia="宋体" w:hAnsi="Arial" w:cs="Arial"/>
          <w:color w:val="2B2B2B"/>
          <w:kern w:val="0"/>
          <w:sz w:val="30"/>
          <w:szCs w:val="30"/>
        </w:rPr>
        <w:t>/100</w:t>
      </w:r>
      <w:r w:rsidRPr="00CA1488">
        <w:rPr>
          <w:rFonts w:ascii="Arial" w:eastAsia="宋体" w:hAnsi="Arial" w:cs="Arial"/>
          <w:color w:val="2B2B2B"/>
          <w:kern w:val="0"/>
          <w:sz w:val="30"/>
          <w:szCs w:val="30"/>
        </w:rPr>
        <w:t>克干物质之间。选择适口的阴离子矿物产品，有利于既达到低的</w:t>
      </w:r>
      <w:r w:rsidRPr="00CA1488">
        <w:rPr>
          <w:rFonts w:ascii="Arial" w:eastAsia="宋体" w:hAnsi="Arial" w:cs="Arial"/>
          <w:color w:val="2B2B2B"/>
          <w:kern w:val="0"/>
          <w:sz w:val="30"/>
          <w:szCs w:val="30"/>
        </w:rPr>
        <w:t>DCAD</w:t>
      </w:r>
      <w:r w:rsidRPr="00CA1488">
        <w:rPr>
          <w:rFonts w:ascii="Arial" w:eastAsia="宋体" w:hAnsi="Arial" w:cs="Arial"/>
          <w:color w:val="2B2B2B"/>
          <w:kern w:val="0"/>
          <w:sz w:val="30"/>
          <w:szCs w:val="30"/>
        </w:rPr>
        <w:t>，又保持高的干物质采食量。</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lastRenderedPageBreak/>
        <w:t xml:space="preserve">　　</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为确保母牛血液酸化，常规或定期地检测尿液</w:t>
      </w:r>
      <w:r w:rsidRPr="00CA1488">
        <w:rPr>
          <w:rFonts w:ascii="Arial" w:eastAsia="宋体" w:hAnsi="Arial" w:cs="Arial"/>
          <w:color w:val="2B2B2B"/>
          <w:kern w:val="0"/>
          <w:sz w:val="30"/>
          <w:szCs w:val="30"/>
        </w:rPr>
        <w:t>pH</w:t>
      </w:r>
      <w:r w:rsidRPr="00CA1488">
        <w:rPr>
          <w:rFonts w:ascii="Arial" w:eastAsia="宋体" w:hAnsi="Arial" w:cs="Arial"/>
          <w:color w:val="2B2B2B"/>
          <w:kern w:val="0"/>
          <w:sz w:val="30"/>
          <w:szCs w:val="30"/>
        </w:rPr>
        <w:t>值，特别在明显的饲粮组分变化以后。荷斯坦母牛的目标尿液</w:t>
      </w:r>
      <w:r w:rsidRPr="00CA1488">
        <w:rPr>
          <w:rFonts w:ascii="Arial" w:eastAsia="宋体" w:hAnsi="Arial" w:cs="Arial"/>
          <w:color w:val="2B2B2B"/>
          <w:kern w:val="0"/>
          <w:sz w:val="30"/>
          <w:szCs w:val="30"/>
        </w:rPr>
        <w:t>pH</w:t>
      </w:r>
      <w:r w:rsidRPr="00CA1488">
        <w:rPr>
          <w:rFonts w:ascii="Arial" w:eastAsia="宋体" w:hAnsi="Arial" w:cs="Arial"/>
          <w:color w:val="2B2B2B"/>
          <w:kern w:val="0"/>
          <w:sz w:val="30"/>
          <w:szCs w:val="30"/>
        </w:rPr>
        <w:t>在</w:t>
      </w:r>
      <w:r w:rsidRPr="00CA1488">
        <w:rPr>
          <w:rFonts w:ascii="Arial" w:eastAsia="宋体" w:hAnsi="Arial" w:cs="Arial"/>
          <w:color w:val="2B2B2B"/>
          <w:kern w:val="0"/>
          <w:sz w:val="30"/>
          <w:szCs w:val="30"/>
        </w:rPr>
        <w:t>6.0</w:t>
      </w:r>
      <w:r w:rsidRPr="00CA1488">
        <w:rPr>
          <w:rFonts w:ascii="Arial" w:eastAsia="宋体" w:hAnsi="Arial" w:cs="Arial"/>
          <w:color w:val="2B2B2B"/>
          <w:kern w:val="0"/>
          <w:sz w:val="30"/>
          <w:szCs w:val="30"/>
        </w:rPr>
        <w:t>和</w:t>
      </w:r>
      <w:r w:rsidRPr="00CA1488">
        <w:rPr>
          <w:rFonts w:ascii="Arial" w:eastAsia="宋体" w:hAnsi="Arial" w:cs="Arial"/>
          <w:color w:val="2B2B2B"/>
          <w:kern w:val="0"/>
          <w:sz w:val="30"/>
          <w:szCs w:val="30"/>
        </w:rPr>
        <w:t>6.3</w:t>
      </w:r>
      <w:r w:rsidRPr="00CA1488">
        <w:rPr>
          <w:rFonts w:ascii="Arial" w:eastAsia="宋体" w:hAnsi="Arial" w:cs="Arial"/>
          <w:color w:val="2B2B2B"/>
          <w:kern w:val="0"/>
          <w:sz w:val="30"/>
          <w:szCs w:val="30"/>
        </w:rPr>
        <w:t>之间，而娟姗母牛则在</w:t>
      </w:r>
      <w:r w:rsidRPr="00CA1488">
        <w:rPr>
          <w:rFonts w:ascii="Arial" w:eastAsia="宋体" w:hAnsi="Arial" w:cs="Arial"/>
          <w:color w:val="2B2B2B"/>
          <w:kern w:val="0"/>
          <w:sz w:val="30"/>
          <w:szCs w:val="30"/>
        </w:rPr>
        <w:t>5.6</w:t>
      </w:r>
      <w:r w:rsidRPr="00CA1488">
        <w:rPr>
          <w:rFonts w:ascii="Arial" w:eastAsia="宋体" w:hAnsi="Arial" w:cs="Arial"/>
          <w:color w:val="2B2B2B"/>
          <w:kern w:val="0"/>
          <w:sz w:val="30"/>
          <w:szCs w:val="30"/>
        </w:rPr>
        <w:t>和</w:t>
      </w:r>
      <w:r w:rsidRPr="00CA1488">
        <w:rPr>
          <w:rFonts w:ascii="Arial" w:eastAsia="宋体" w:hAnsi="Arial" w:cs="Arial"/>
          <w:color w:val="2B2B2B"/>
          <w:kern w:val="0"/>
          <w:sz w:val="30"/>
          <w:szCs w:val="30"/>
        </w:rPr>
        <w:t>6.2</w:t>
      </w:r>
      <w:r w:rsidRPr="00CA1488">
        <w:rPr>
          <w:rFonts w:ascii="Arial" w:eastAsia="宋体" w:hAnsi="Arial" w:cs="Arial"/>
          <w:color w:val="2B2B2B"/>
          <w:kern w:val="0"/>
          <w:sz w:val="30"/>
          <w:szCs w:val="30"/>
        </w:rPr>
        <w:t>之间。同时要检测水的质量，因为水的硬度、</w:t>
      </w:r>
      <w:r w:rsidRPr="00CA1488">
        <w:rPr>
          <w:rFonts w:ascii="Arial" w:eastAsia="宋体" w:hAnsi="Arial" w:cs="Arial"/>
          <w:color w:val="2B2B2B"/>
          <w:kern w:val="0"/>
          <w:sz w:val="30"/>
          <w:szCs w:val="30"/>
        </w:rPr>
        <w:t>pH</w:t>
      </w:r>
      <w:r w:rsidRPr="00CA1488">
        <w:rPr>
          <w:rFonts w:ascii="Arial" w:eastAsia="宋体" w:hAnsi="Arial" w:cs="Arial"/>
          <w:color w:val="2B2B2B"/>
          <w:kern w:val="0"/>
          <w:sz w:val="30"/>
          <w:szCs w:val="30"/>
        </w:rPr>
        <w:t>、碱性和矿物质含量均可能影响动物的酸化。</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产前饲喂至少</w:t>
      </w:r>
      <w:r w:rsidRPr="00CA1488">
        <w:rPr>
          <w:rFonts w:ascii="Arial" w:eastAsia="宋体" w:hAnsi="Arial" w:cs="Arial"/>
          <w:color w:val="2B2B2B"/>
          <w:kern w:val="0"/>
          <w:sz w:val="30"/>
          <w:szCs w:val="30"/>
        </w:rPr>
        <w:t>21</w:t>
      </w:r>
      <w:r w:rsidRPr="00CA1488">
        <w:rPr>
          <w:rFonts w:ascii="Arial" w:eastAsia="宋体" w:hAnsi="Arial" w:cs="Arial"/>
          <w:color w:val="2B2B2B"/>
          <w:kern w:val="0"/>
          <w:sz w:val="30"/>
          <w:szCs w:val="30"/>
        </w:rPr>
        <w:t>天。要留意有些提早产犊的母牛，让其在干奶后期栏舍内待留较长的时间。合理平衡的负</w:t>
      </w:r>
      <w:r w:rsidRPr="00CA1488">
        <w:rPr>
          <w:rFonts w:ascii="Arial" w:eastAsia="宋体" w:hAnsi="Arial" w:cs="Arial"/>
          <w:color w:val="2B2B2B"/>
          <w:kern w:val="0"/>
          <w:sz w:val="30"/>
          <w:szCs w:val="30"/>
        </w:rPr>
        <w:t>DCAD</w:t>
      </w:r>
      <w:r w:rsidRPr="00CA1488">
        <w:rPr>
          <w:rFonts w:ascii="Arial" w:eastAsia="宋体" w:hAnsi="Arial" w:cs="Arial"/>
          <w:color w:val="2B2B2B"/>
          <w:kern w:val="0"/>
          <w:sz w:val="30"/>
          <w:szCs w:val="30"/>
        </w:rPr>
        <w:t>饲粮，可以安全地饲喂较长的时间。</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饲喂合理水平或数量的钙</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每日</w:t>
      </w:r>
      <w:r w:rsidRPr="00CA1488">
        <w:rPr>
          <w:rFonts w:ascii="Arial" w:eastAsia="宋体" w:hAnsi="Arial" w:cs="Arial"/>
          <w:color w:val="2B2B2B"/>
          <w:kern w:val="0"/>
          <w:sz w:val="30"/>
          <w:szCs w:val="30"/>
        </w:rPr>
        <w:t>165</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190</w:t>
      </w:r>
      <w:r w:rsidRPr="00CA1488">
        <w:rPr>
          <w:rFonts w:ascii="Arial" w:eastAsia="宋体" w:hAnsi="Arial" w:cs="Arial"/>
          <w:color w:val="2B2B2B"/>
          <w:kern w:val="0"/>
          <w:sz w:val="30"/>
          <w:szCs w:val="30"/>
        </w:rPr>
        <w:t>克</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、磷</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每日</w:t>
      </w:r>
      <w:r w:rsidRPr="00CA1488">
        <w:rPr>
          <w:rFonts w:ascii="Arial" w:eastAsia="宋体" w:hAnsi="Arial" w:cs="Arial"/>
          <w:color w:val="2B2B2B"/>
          <w:kern w:val="0"/>
          <w:sz w:val="30"/>
          <w:szCs w:val="30"/>
        </w:rPr>
        <w:t>43</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50</w:t>
      </w:r>
      <w:r w:rsidRPr="00CA1488">
        <w:rPr>
          <w:rFonts w:ascii="Arial" w:eastAsia="宋体" w:hAnsi="Arial" w:cs="Arial"/>
          <w:color w:val="2B2B2B"/>
          <w:kern w:val="0"/>
          <w:sz w:val="30"/>
          <w:szCs w:val="30"/>
        </w:rPr>
        <w:t>克</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、镁</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每日</w:t>
      </w:r>
      <w:r w:rsidRPr="00CA1488">
        <w:rPr>
          <w:rFonts w:ascii="Arial" w:eastAsia="宋体" w:hAnsi="Arial" w:cs="Arial"/>
          <w:color w:val="2B2B2B"/>
          <w:kern w:val="0"/>
          <w:sz w:val="30"/>
          <w:szCs w:val="30"/>
        </w:rPr>
        <w:t>53</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59</w:t>
      </w:r>
      <w:r w:rsidRPr="00CA1488">
        <w:rPr>
          <w:rFonts w:ascii="Arial" w:eastAsia="宋体" w:hAnsi="Arial" w:cs="Arial"/>
          <w:color w:val="2B2B2B"/>
          <w:kern w:val="0"/>
          <w:sz w:val="30"/>
          <w:szCs w:val="30"/>
        </w:rPr>
        <w:t>克</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、氯</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每日</w:t>
      </w:r>
      <w:r w:rsidRPr="00CA1488">
        <w:rPr>
          <w:rFonts w:ascii="Arial" w:eastAsia="宋体" w:hAnsi="Arial" w:cs="Arial"/>
          <w:color w:val="2B2B2B"/>
          <w:kern w:val="0"/>
          <w:sz w:val="30"/>
          <w:szCs w:val="30"/>
        </w:rPr>
        <w:t>94</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118</w:t>
      </w:r>
      <w:r w:rsidRPr="00CA1488">
        <w:rPr>
          <w:rFonts w:ascii="Arial" w:eastAsia="宋体" w:hAnsi="Arial" w:cs="Arial"/>
          <w:color w:val="2B2B2B"/>
          <w:kern w:val="0"/>
          <w:sz w:val="30"/>
          <w:szCs w:val="30"/>
        </w:rPr>
        <w:t>克</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和硫</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每日</w:t>
      </w:r>
      <w:r w:rsidRPr="00CA1488">
        <w:rPr>
          <w:rFonts w:ascii="Arial" w:eastAsia="宋体" w:hAnsi="Arial" w:cs="Arial"/>
          <w:color w:val="2B2B2B"/>
          <w:kern w:val="0"/>
          <w:sz w:val="30"/>
          <w:szCs w:val="30"/>
        </w:rPr>
        <w:t>51</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55</w:t>
      </w:r>
      <w:r w:rsidRPr="00CA1488">
        <w:rPr>
          <w:rFonts w:ascii="Arial" w:eastAsia="宋体" w:hAnsi="Arial" w:cs="Arial"/>
          <w:color w:val="2B2B2B"/>
          <w:kern w:val="0"/>
          <w:sz w:val="30"/>
          <w:szCs w:val="30"/>
        </w:rPr>
        <w:t>克</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w:t>
      </w:r>
    </w:p>
    <w:p w:rsidR="00CA1488" w:rsidRPr="00CA1488" w:rsidRDefault="00CA1488" w:rsidP="00CA14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CA1488">
        <w:rPr>
          <w:rFonts w:ascii="Arial" w:eastAsia="宋体" w:hAnsi="Arial" w:cs="Arial"/>
          <w:color w:val="2B2B2B"/>
          <w:kern w:val="0"/>
          <w:sz w:val="30"/>
          <w:szCs w:val="30"/>
        </w:rPr>
        <w:t xml:space="preserve">　　</w:t>
      </w:r>
      <w:r w:rsidRPr="00CA1488">
        <w:rPr>
          <w:rFonts w:ascii="Arial" w:eastAsia="宋体" w:hAnsi="Arial" w:cs="Arial"/>
          <w:color w:val="2B2B2B"/>
          <w:kern w:val="0"/>
          <w:sz w:val="30"/>
          <w:szCs w:val="30"/>
        </w:rPr>
        <w:t>●</w:t>
      </w:r>
      <w:r w:rsidRPr="00CA1488">
        <w:rPr>
          <w:rFonts w:ascii="Arial" w:eastAsia="宋体" w:hAnsi="Arial" w:cs="Arial"/>
          <w:color w:val="2B2B2B"/>
          <w:kern w:val="0"/>
          <w:sz w:val="30"/>
          <w:szCs w:val="30"/>
        </w:rPr>
        <w:t>定期在产犊当天并有可能至产犊后一周内采集一定数量的新产母牛血液，确定总血钙浓度。</w:t>
      </w:r>
    </w:p>
    <w:p w:rsidR="0086164A" w:rsidRDefault="00CA1488" w:rsidP="00CA1488">
      <w:pPr>
        <w:ind w:firstLine="630"/>
        <w:rPr>
          <w:rFonts w:ascii="Arial" w:eastAsia="宋体" w:hAnsi="Arial" w:cs="Arial"/>
          <w:color w:val="2B2B2B"/>
          <w:kern w:val="0"/>
          <w:sz w:val="30"/>
          <w:szCs w:val="30"/>
        </w:rPr>
      </w:pPr>
      <w:r w:rsidRPr="00CA1488">
        <w:rPr>
          <w:rFonts w:ascii="Arial" w:eastAsia="宋体" w:hAnsi="Arial" w:cs="Arial"/>
          <w:color w:val="2B2B2B"/>
          <w:kern w:val="0"/>
          <w:sz w:val="30"/>
          <w:szCs w:val="30"/>
        </w:rPr>
        <w:t>近期的研究已将我们的注意力集注在围产期母牛血钙的重要性上。要合理饲喂阴离子饲粮，并定期监测尿液的</w:t>
      </w:r>
      <w:r w:rsidRPr="00CA1488">
        <w:rPr>
          <w:rFonts w:ascii="Arial" w:eastAsia="宋体" w:hAnsi="Arial" w:cs="Arial"/>
          <w:color w:val="2B2B2B"/>
          <w:kern w:val="0"/>
          <w:sz w:val="30"/>
          <w:szCs w:val="30"/>
        </w:rPr>
        <w:t>pH</w:t>
      </w:r>
      <w:r w:rsidRPr="00CA1488">
        <w:rPr>
          <w:rFonts w:ascii="Arial" w:eastAsia="宋体" w:hAnsi="Arial" w:cs="Arial"/>
          <w:color w:val="2B2B2B"/>
          <w:kern w:val="0"/>
          <w:sz w:val="30"/>
          <w:szCs w:val="30"/>
        </w:rPr>
        <w:t>、产犊那天的血钙水平和新产母牛的疾病状况，提升的奶产量对奶牛场的利润具有巨大的作用。</w:t>
      </w:r>
    </w:p>
    <w:p w:rsidR="00CA1488" w:rsidRPr="00785311" w:rsidRDefault="00CA1488" w:rsidP="00CA1488">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CA1488" w:rsidRPr="00785311" w:rsidRDefault="00CA1488" w:rsidP="00CA1488">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lastRenderedPageBreak/>
        <w:t>软件反刍版本(反刍营养百分百)：以干物质为基础，采用过胃（能氮平衡）、过肠、MP（可代谢蛋白）中氨基酸含量对饲料日粮进行TMR计算。</w:t>
      </w:r>
    </w:p>
    <w:p w:rsidR="00CA1488" w:rsidRPr="00785311" w:rsidRDefault="00CA1488" w:rsidP="00CA1488">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CA1488" w:rsidRPr="00917A63" w:rsidRDefault="0086164A" w:rsidP="00CA1488">
      <w:pPr>
        <w:pStyle w:val="a5"/>
        <w:ind w:firstLine="480"/>
        <w:rPr>
          <w:b/>
          <w:color w:val="000000"/>
        </w:rPr>
      </w:pPr>
      <w:hyperlink r:id="rId7" w:history="1">
        <w:r w:rsidR="00CA1488" w:rsidRPr="00917A63">
          <w:rPr>
            <w:rStyle w:val="a7"/>
            <w:rFonts w:hint="eastAsia"/>
            <w:b/>
          </w:rPr>
          <w:t>下载：智能二代(Genetic Algorithm)饲料配方软件(猪、鸡饲料配方计算)</w:t>
        </w:r>
      </w:hyperlink>
    </w:p>
    <w:p w:rsidR="00CA1488" w:rsidRDefault="00CA1488" w:rsidP="00CA1488">
      <w:pPr>
        <w:jc w:val="center"/>
        <w:rPr>
          <w:b/>
          <w:color w:val="FF0000"/>
          <w:sz w:val="32"/>
          <w:szCs w:val="32"/>
        </w:rPr>
      </w:pPr>
    </w:p>
    <w:p w:rsidR="00CA1488" w:rsidRPr="004F7A8F" w:rsidRDefault="0086164A" w:rsidP="00CA1488">
      <w:pPr>
        <w:jc w:val="center"/>
        <w:rPr>
          <w:b/>
          <w:color w:val="FF0000"/>
          <w:sz w:val="32"/>
          <w:szCs w:val="32"/>
        </w:rPr>
      </w:pPr>
      <w:hyperlink r:id="rId8" w:history="1">
        <w:r w:rsidR="00CA1488" w:rsidRPr="004F7A8F">
          <w:rPr>
            <w:rStyle w:val="a7"/>
            <w:rFonts w:hint="eastAsia"/>
            <w:b/>
            <w:color w:val="FF0000"/>
            <w:sz w:val="32"/>
            <w:szCs w:val="32"/>
          </w:rPr>
          <w:t>下载</w:t>
        </w:r>
        <w:r w:rsidR="00CA1488" w:rsidRPr="004F7A8F">
          <w:rPr>
            <w:rStyle w:val="a7"/>
            <w:rFonts w:hint="eastAsia"/>
            <w:b/>
            <w:color w:val="FF0000"/>
            <w:sz w:val="32"/>
            <w:szCs w:val="32"/>
          </w:rPr>
          <w:t>1</w:t>
        </w:r>
        <w:r w:rsidR="00CA1488" w:rsidRPr="004F7A8F">
          <w:rPr>
            <w:rStyle w:val="a7"/>
            <w:rFonts w:hint="eastAsia"/>
            <w:b/>
            <w:color w:val="FF0000"/>
            <w:sz w:val="32"/>
            <w:szCs w:val="32"/>
          </w:rPr>
          <w:t>：</w:t>
        </w:r>
        <w:r w:rsidR="00CA1488" w:rsidRPr="004F7A8F">
          <w:rPr>
            <w:rStyle w:val="a7"/>
            <w:rFonts w:hint="eastAsia"/>
            <w:b/>
            <w:color w:val="FF0000"/>
            <w:sz w:val="32"/>
            <w:szCs w:val="32"/>
          </w:rPr>
          <w:t xml:space="preserve">Feed mix </w:t>
        </w:r>
        <w:r w:rsidR="00CA1488" w:rsidRPr="004F7A8F">
          <w:rPr>
            <w:rStyle w:val="a7"/>
            <w:rFonts w:hint="eastAsia"/>
            <w:b/>
            <w:color w:val="FF0000"/>
            <w:sz w:val="32"/>
            <w:szCs w:val="32"/>
          </w:rPr>
          <w:t>反刍营养百分百</w:t>
        </w:r>
        <w:r w:rsidR="00CA1488" w:rsidRPr="004F7A8F">
          <w:rPr>
            <w:rStyle w:val="a7"/>
            <w:rFonts w:hint="eastAsia"/>
            <w:b/>
            <w:color w:val="FF0000"/>
            <w:sz w:val="32"/>
            <w:szCs w:val="32"/>
          </w:rPr>
          <w:t>-</w:t>
        </w:r>
        <w:r w:rsidR="00CA1488" w:rsidRPr="004F7A8F">
          <w:rPr>
            <w:rStyle w:val="a7"/>
            <w:rFonts w:hint="eastAsia"/>
            <w:b/>
            <w:color w:val="FF0000"/>
            <w:sz w:val="32"/>
            <w:szCs w:val="32"/>
          </w:rPr>
          <w:t>饲料配方软件</w:t>
        </w:r>
        <w:r w:rsidR="00CA1488" w:rsidRPr="004F7A8F">
          <w:rPr>
            <w:rStyle w:val="a7"/>
            <w:rFonts w:hint="eastAsia"/>
            <w:b/>
            <w:color w:val="FF0000"/>
            <w:sz w:val="32"/>
            <w:szCs w:val="32"/>
          </w:rPr>
          <w:t>(</w:t>
        </w:r>
        <w:r w:rsidR="00CA1488" w:rsidRPr="004F7A8F">
          <w:rPr>
            <w:rStyle w:val="a7"/>
            <w:rFonts w:hint="eastAsia"/>
            <w:b/>
            <w:color w:val="FF0000"/>
            <w:sz w:val="32"/>
            <w:szCs w:val="32"/>
          </w:rPr>
          <w:t>第四版</w:t>
        </w:r>
        <w:r w:rsidR="00CA1488" w:rsidRPr="004F7A8F">
          <w:rPr>
            <w:rStyle w:val="a7"/>
            <w:rFonts w:hint="eastAsia"/>
            <w:b/>
            <w:color w:val="FF0000"/>
            <w:sz w:val="32"/>
            <w:szCs w:val="32"/>
          </w:rPr>
          <w:t>)</w:t>
        </w:r>
      </w:hyperlink>
    </w:p>
    <w:p w:rsidR="00CA1488" w:rsidRPr="004F7A8F" w:rsidRDefault="00CA1488" w:rsidP="00CA1488">
      <w:pPr>
        <w:jc w:val="center"/>
        <w:rPr>
          <w:b/>
          <w:color w:val="FF0000"/>
          <w:sz w:val="32"/>
          <w:szCs w:val="32"/>
        </w:rPr>
      </w:pPr>
      <w:r>
        <w:rPr>
          <w:rFonts w:hint="eastAsia"/>
          <w:b/>
          <w:color w:val="FF0000"/>
          <w:sz w:val="32"/>
          <w:szCs w:val="32"/>
        </w:rPr>
        <w:t>QQ:1400072515</w:t>
      </w:r>
    </w:p>
    <w:p w:rsidR="00CA1488" w:rsidRPr="004F7A8F" w:rsidRDefault="0086164A" w:rsidP="00CA1488">
      <w:pPr>
        <w:jc w:val="center"/>
        <w:rPr>
          <w:b/>
          <w:color w:val="FF0000"/>
          <w:sz w:val="32"/>
          <w:szCs w:val="32"/>
        </w:rPr>
      </w:pPr>
      <w:hyperlink r:id="rId9" w:history="1">
        <w:r w:rsidR="00CA1488" w:rsidRPr="004F7A8F">
          <w:rPr>
            <w:rStyle w:val="a7"/>
            <w:rFonts w:hint="eastAsia"/>
            <w:b/>
            <w:color w:val="FF0000"/>
            <w:sz w:val="32"/>
            <w:szCs w:val="32"/>
          </w:rPr>
          <w:t>下载</w:t>
        </w:r>
        <w:r w:rsidR="00CA1488" w:rsidRPr="004F7A8F">
          <w:rPr>
            <w:rStyle w:val="a7"/>
            <w:rFonts w:hint="eastAsia"/>
            <w:b/>
            <w:color w:val="FF0000"/>
            <w:sz w:val="32"/>
            <w:szCs w:val="32"/>
          </w:rPr>
          <w:t>2</w:t>
        </w:r>
        <w:r w:rsidR="00CA1488" w:rsidRPr="004F7A8F">
          <w:rPr>
            <w:rStyle w:val="a7"/>
            <w:rFonts w:hint="eastAsia"/>
            <w:b/>
            <w:color w:val="FF0000"/>
            <w:sz w:val="32"/>
            <w:szCs w:val="32"/>
          </w:rPr>
          <w:t>：</w:t>
        </w:r>
        <w:r w:rsidR="00CA1488" w:rsidRPr="004F7A8F">
          <w:rPr>
            <w:rStyle w:val="a7"/>
            <w:rFonts w:hint="eastAsia"/>
            <w:b/>
            <w:color w:val="FF0000"/>
            <w:sz w:val="32"/>
            <w:szCs w:val="32"/>
          </w:rPr>
          <w:t xml:space="preserve">Feed mix </w:t>
        </w:r>
        <w:r w:rsidR="00CA1488" w:rsidRPr="004F7A8F">
          <w:rPr>
            <w:rStyle w:val="a7"/>
            <w:rFonts w:hint="eastAsia"/>
            <w:b/>
            <w:color w:val="FF0000"/>
            <w:sz w:val="32"/>
            <w:szCs w:val="32"/>
          </w:rPr>
          <w:t>反刍营养百分百</w:t>
        </w:r>
        <w:r w:rsidR="00CA1488" w:rsidRPr="004F7A8F">
          <w:rPr>
            <w:rStyle w:val="a7"/>
            <w:rFonts w:hint="eastAsia"/>
            <w:b/>
            <w:color w:val="FF0000"/>
            <w:sz w:val="32"/>
            <w:szCs w:val="32"/>
          </w:rPr>
          <w:t>-</w:t>
        </w:r>
        <w:r w:rsidR="00CA1488" w:rsidRPr="004F7A8F">
          <w:rPr>
            <w:rStyle w:val="a7"/>
            <w:rFonts w:hint="eastAsia"/>
            <w:b/>
            <w:color w:val="FF0000"/>
            <w:sz w:val="32"/>
            <w:szCs w:val="32"/>
          </w:rPr>
          <w:t>饲料配方软件</w:t>
        </w:r>
        <w:r w:rsidR="00CA1488" w:rsidRPr="004F7A8F">
          <w:rPr>
            <w:rStyle w:val="a7"/>
            <w:rFonts w:hint="eastAsia"/>
            <w:b/>
            <w:color w:val="FF0000"/>
            <w:sz w:val="32"/>
            <w:szCs w:val="32"/>
          </w:rPr>
          <w:t>(</w:t>
        </w:r>
        <w:r w:rsidR="00CA1488" w:rsidRPr="004F7A8F">
          <w:rPr>
            <w:rStyle w:val="a7"/>
            <w:rFonts w:hint="eastAsia"/>
            <w:b/>
            <w:color w:val="FF0000"/>
            <w:sz w:val="32"/>
            <w:szCs w:val="32"/>
          </w:rPr>
          <w:t>第四版</w:t>
        </w:r>
        <w:r w:rsidR="00CA1488" w:rsidRPr="004F7A8F">
          <w:rPr>
            <w:rStyle w:val="a7"/>
            <w:rFonts w:hint="eastAsia"/>
            <w:b/>
            <w:color w:val="FF0000"/>
            <w:sz w:val="32"/>
            <w:szCs w:val="32"/>
          </w:rPr>
          <w:t>)</w:t>
        </w:r>
      </w:hyperlink>
    </w:p>
    <w:p w:rsidR="005B08DF" w:rsidRDefault="005B08DF" w:rsidP="005B08DF">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CA1488" w:rsidRPr="005B08DF" w:rsidRDefault="00CA1488" w:rsidP="00CA1488"/>
    <w:p w:rsidR="00CA1488" w:rsidRPr="00CA1488" w:rsidRDefault="00CA1488" w:rsidP="00CA1488">
      <w:pPr>
        <w:ind w:firstLine="630"/>
        <w:rPr>
          <w:sz w:val="30"/>
          <w:szCs w:val="30"/>
        </w:rPr>
      </w:pPr>
    </w:p>
    <w:sectPr w:rsidR="00CA1488" w:rsidRPr="00CA1488" w:rsidSect="0086164A">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A99" w:rsidRDefault="002D1A99" w:rsidP="00CA1488">
      <w:r>
        <w:separator/>
      </w:r>
    </w:p>
  </w:endnote>
  <w:endnote w:type="continuationSeparator" w:id="1">
    <w:p w:rsidR="002D1A99" w:rsidRDefault="002D1A99" w:rsidP="00CA14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A99" w:rsidRDefault="002D1A99" w:rsidP="00CA1488">
      <w:r>
        <w:separator/>
      </w:r>
    </w:p>
  </w:footnote>
  <w:footnote w:type="continuationSeparator" w:id="1">
    <w:p w:rsidR="002D1A99" w:rsidRDefault="002D1A99" w:rsidP="00CA14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488" w:rsidRDefault="00CA1488">
    <w:pPr>
      <w:pStyle w:val="a3"/>
    </w:pPr>
    <w:r w:rsidRPr="00CA1488">
      <w:rPr>
        <w:rFonts w:hint="eastAsia"/>
      </w:rPr>
      <w:t xml:space="preserve">Feed mix </w:t>
    </w:r>
    <w:r w:rsidRPr="00CA1488">
      <w:rPr>
        <w:rFonts w:hint="eastAsia"/>
      </w:rPr>
      <w:t>反刍营养百分百</w:t>
    </w:r>
    <w:r w:rsidRPr="00CA1488">
      <w:rPr>
        <w:rFonts w:hint="eastAsia"/>
      </w:rPr>
      <w:t>-</w:t>
    </w:r>
    <w:r w:rsidRPr="00CA1488">
      <w:rPr>
        <w:rFonts w:hint="eastAsia"/>
      </w:rPr>
      <w:t>饲料配方软件</w:t>
    </w:r>
    <w:r w:rsidRPr="00CA1488">
      <w:rPr>
        <w:rFonts w:hint="eastAsia"/>
      </w:rPr>
      <w:t>(</w:t>
    </w:r>
    <w:r w:rsidRPr="00CA1488">
      <w:rPr>
        <w:rFonts w:hint="eastAsia"/>
      </w:rPr>
      <w:t>奶牛、肉牛、肉羊饲料日粮</w:t>
    </w:r>
    <w:r w:rsidRPr="00CA1488">
      <w:rPr>
        <w:rFonts w:hint="eastAsia"/>
      </w:rPr>
      <w:t>TMR</w:t>
    </w:r>
    <w:r w:rsidRPr="00CA1488">
      <w:rPr>
        <w:rFonts w:hint="eastAsia"/>
      </w:rPr>
      <w:t>计算</w:t>
    </w:r>
    <w:r w:rsidRPr="00CA1488">
      <w:rPr>
        <w:rFonts w:hint="eastAsia"/>
      </w:rPr>
      <w:t>)QQ</w:t>
    </w:r>
    <w:r w:rsidRPr="00CA1488">
      <w:rPr>
        <w:rFonts w:hint="eastAsia"/>
      </w:rPr>
      <w:t>：</w:t>
    </w:r>
    <w:r w:rsidRPr="00CA1488">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1488"/>
    <w:rsid w:val="001D02EA"/>
    <w:rsid w:val="002D1A99"/>
    <w:rsid w:val="005B08DF"/>
    <w:rsid w:val="0086164A"/>
    <w:rsid w:val="00CA14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4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14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1488"/>
    <w:rPr>
      <w:sz w:val="18"/>
      <w:szCs w:val="18"/>
    </w:rPr>
  </w:style>
  <w:style w:type="paragraph" w:styleId="a4">
    <w:name w:val="footer"/>
    <w:basedOn w:val="a"/>
    <w:link w:val="Char0"/>
    <w:uiPriority w:val="99"/>
    <w:semiHidden/>
    <w:unhideWhenUsed/>
    <w:rsid w:val="00CA148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1488"/>
    <w:rPr>
      <w:sz w:val="18"/>
      <w:szCs w:val="18"/>
    </w:rPr>
  </w:style>
  <w:style w:type="paragraph" w:styleId="a5">
    <w:name w:val="Normal (Web)"/>
    <w:basedOn w:val="a"/>
    <w:uiPriority w:val="99"/>
    <w:rsid w:val="00CA148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A1488"/>
    <w:rPr>
      <w:b/>
      <w:bCs/>
    </w:rPr>
  </w:style>
  <w:style w:type="character" w:styleId="a7">
    <w:name w:val="Hyperlink"/>
    <w:basedOn w:val="a0"/>
    <w:rsid w:val="00CA1488"/>
    <w:rPr>
      <w:color w:val="0000FF"/>
      <w:u w:val="single"/>
    </w:rPr>
  </w:style>
</w:styles>
</file>

<file path=word/webSettings.xml><?xml version="1.0" encoding="utf-8"?>
<w:webSettings xmlns:r="http://schemas.openxmlformats.org/officeDocument/2006/relationships" xmlns:w="http://schemas.openxmlformats.org/wordprocessingml/2006/main">
  <w:divs>
    <w:div w:id="122507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885</Words>
  <Characters>5045</Characters>
  <Application>Microsoft Office Word</Application>
  <DocSecurity>0</DocSecurity>
  <Lines>42</Lines>
  <Paragraphs>11</Paragraphs>
  <ScaleCrop>false</ScaleCrop>
  <Company/>
  <LinksUpToDate>false</LinksUpToDate>
  <CharactersWithSpaces>5919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2015-01-04T23:53:00Z</dcterms:created>
  <dcterms:modified xsi:type="dcterms:W3CDTF">2015-01-06T01:37:00Z</dcterms:modified>
</cp:coreProperties>
</file>