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849" w:rsidRPr="00F04849" w:rsidRDefault="00F04849" w:rsidP="00F0484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0484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养羊技术：断奶羔羊快速育肥技术</w:t>
      </w:r>
    </w:p>
    <w:p w:rsidR="00F04849" w:rsidRPr="00F04849" w:rsidRDefault="00F04849" w:rsidP="00F0484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849" w:rsidRPr="00F04849" w:rsidRDefault="00F04849" w:rsidP="00F0484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04849">
        <w:rPr>
          <w:rFonts w:ascii="宋体" w:eastAsia="宋体" w:hAnsi="宋体" w:cs="宋体"/>
          <w:color w:val="000000"/>
          <w:kern w:val="0"/>
          <w:sz w:val="36"/>
          <w:szCs w:val="36"/>
        </w:rPr>
        <w:t>羔羊断奶后育肥是羊肉生产的主要方式，一般情况下，对体重小或体况差的羔羊进行适度育肥，对体重大或体况好的进行强度育肥，均可进一步提高经济效益。此种技术灵活多样，可视当地牧草状况和羔羊类型选择育肥方式，如强度育肥或一般育肥、放牧育肥或舍饲育肥等；根据育肥计划、当地条件和增重要求，选择全精料型、粗饲料型和青贮饲料型育肥，并在饲养管理上分别对待。</w:t>
      </w:r>
    </w:p>
    <w:p w:rsidR="00F04849" w:rsidRPr="00F04849" w:rsidRDefault="00F04849" w:rsidP="00F0484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04849">
        <w:rPr>
          <w:rFonts w:ascii="宋体" w:eastAsia="宋体" w:hAnsi="宋体" w:cs="宋体"/>
          <w:color w:val="000000"/>
          <w:kern w:val="0"/>
          <w:sz w:val="36"/>
          <w:szCs w:val="36"/>
        </w:rPr>
        <w:t>（1）全精料型日粮育肥 此法只适用于35千克左右的健壮羔羊育肥，通过强度育肥。50天达到48～50千克上市体重。</w:t>
      </w:r>
    </w:p>
    <w:p w:rsidR="00F04849" w:rsidRPr="00F04849" w:rsidRDefault="00F04849" w:rsidP="00F0484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04849">
        <w:rPr>
          <w:rFonts w:ascii="宋体" w:eastAsia="宋体" w:hAnsi="宋体" w:cs="宋体"/>
          <w:color w:val="000000"/>
          <w:kern w:val="0"/>
          <w:sz w:val="36"/>
          <w:szCs w:val="36"/>
        </w:rPr>
        <w:t>建议日粮配制以玉米豆粕型日粮为主，饲养管理要点应保证羔羊每天每只额外食入粗饲料45～90克，可以单独喂给少量秸秆，也可用秸秆当垫草来满足，当垫草需每天更换。</w:t>
      </w:r>
    </w:p>
    <w:p w:rsidR="00F04849" w:rsidRPr="00F04849" w:rsidRDefault="00F04849" w:rsidP="00F0484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04849">
        <w:rPr>
          <w:rFonts w:ascii="宋体" w:eastAsia="宋体" w:hAnsi="宋体" w:cs="宋体"/>
          <w:color w:val="000000"/>
          <w:kern w:val="0"/>
          <w:sz w:val="36"/>
          <w:szCs w:val="36"/>
        </w:rPr>
        <w:t>（2）粗饲料型日粮育肥 此法按投料方式分为普通饲槽用和自动饲槽用两种，前者是把精料和粗料分开喂给，后者则是把精粗料混合在一起的全日粮饲料。</w:t>
      </w:r>
      <w:r w:rsidRPr="00F04849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为了减少饲料浪费，建议规模化、集约化肉羊饲养场采用自动饲槽，用粗饲料型日粮。</w:t>
      </w:r>
    </w:p>
    <w:p w:rsidR="00F04849" w:rsidRPr="00F04849" w:rsidRDefault="00F04849" w:rsidP="00F0484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04849">
        <w:rPr>
          <w:rFonts w:ascii="宋体" w:eastAsia="宋体" w:hAnsi="宋体" w:cs="宋体"/>
          <w:color w:val="000000"/>
          <w:kern w:val="0"/>
          <w:sz w:val="36"/>
          <w:szCs w:val="36"/>
        </w:rPr>
        <w:t>饲养管理要点：日粮用干草应以豆科牧草为主，其粗蛋白质含量不低于14％；配制出的日粮在成色上要一致，尤其是带穗玉米必须碾碎，以羔羊难以从中跳出玉米粒为准，常用的筛孔为0.65厘米。按照渐加慢换的原则，让羔羊逐步转入育肥日粮的全喂量，每只羔羊日喂量按1.5千克标准投放。</w:t>
      </w:r>
    </w:p>
    <w:p w:rsidR="00F04849" w:rsidRPr="00F04849" w:rsidRDefault="00F04849" w:rsidP="00F0484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04849">
        <w:rPr>
          <w:rFonts w:ascii="宋体" w:eastAsia="宋体" w:hAnsi="宋体" w:cs="宋体"/>
          <w:color w:val="000000"/>
          <w:kern w:val="0"/>
          <w:sz w:val="36"/>
          <w:szCs w:val="36"/>
        </w:rPr>
        <w:t>（3）青贮饲料型日粮育肥 此法以玉米青贮饲料为主，可占到日粮的67.5％～87.6％。一般青贮方法难以适用育肥初期羔羊和短期强度育肥羔羊，但若选择豆科牧草、全株玉米、糖蜜、甜菜渣等原料青贮，并适当降低其在日粮中的比例，也可用于强度育肥，羔羊育肥期将大为缩短，育肥期日增重能达到160克以上。</w:t>
      </w:r>
    </w:p>
    <w:p w:rsidR="00F04849" w:rsidRDefault="00F04849" w:rsidP="00F04849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F04849" w:rsidRDefault="00F04849" w:rsidP="00F04849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04849" w:rsidRDefault="00F04849" w:rsidP="00F04849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04849" w:rsidRDefault="00341743" w:rsidP="00F04849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F04849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04849" w:rsidRDefault="00F04849" w:rsidP="00F0484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F04849" w:rsidRDefault="00341743" w:rsidP="00F0484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F0484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04849" w:rsidRDefault="00F04849" w:rsidP="00F0484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04849" w:rsidRDefault="00341743" w:rsidP="00F0484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F0484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85188" w:rsidRPr="00F04849" w:rsidRDefault="00EA366C" w:rsidP="00EA366C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sectPr w:rsidR="00385188" w:rsidRPr="00F04849" w:rsidSect="0034174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FD2" w:rsidRDefault="00887FD2" w:rsidP="00F04849">
      <w:r>
        <w:separator/>
      </w:r>
    </w:p>
  </w:endnote>
  <w:endnote w:type="continuationSeparator" w:id="1">
    <w:p w:rsidR="00887FD2" w:rsidRDefault="00887FD2" w:rsidP="00F04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FD2" w:rsidRDefault="00887FD2" w:rsidP="00F04849">
      <w:r>
        <w:separator/>
      </w:r>
    </w:p>
  </w:footnote>
  <w:footnote w:type="continuationSeparator" w:id="1">
    <w:p w:rsidR="00887FD2" w:rsidRDefault="00887FD2" w:rsidP="00F04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849" w:rsidRDefault="00F04849">
    <w:pPr>
      <w:pStyle w:val="a3"/>
    </w:pPr>
    <w:r w:rsidRPr="00F04849">
      <w:rPr>
        <w:rFonts w:hint="eastAsia"/>
      </w:rPr>
      <w:t xml:space="preserve">Feed mix </w:t>
    </w:r>
    <w:r w:rsidRPr="00F04849">
      <w:rPr>
        <w:rFonts w:hint="eastAsia"/>
      </w:rPr>
      <w:t>反刍营养百分百饲料软件</w:t>
    </w:r>
    <w:r w:rsidRPr="00F04849">
      <w:rPr>
        <w:rFonts w:hint="eastAsia"/>
      </w:rPr>
      <w:t>(</w:t>
    </w:r>
    <w:r w:rsidRPr="00F04849">
      <w:rPr>
        <w:rFonts w:hint="eastAsia"/>
      </w:rPr>
      <w:t>奶牛、肉牛、肉羊等饲料计算</w:t>
    </w:r>
    <w:r w:rsidRPr="00F0484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4849"/>
    <w:rsid w:val="00341743"/>
    <w:rsid w:val="00385188"/>
    <w:rsid w:val="00887FD2"/>
    <w:rsid w:val="00EA366C"/>
    <w:rsid w:val="00F0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4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48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4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484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048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048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04849"/>
    <w:rPr>
      <w:sz w:val="18"/>
      <w:szCs w:val="18"/>
    </w:rPr>
  </w:style>
  <w:style w:type="character" w:styleId="a7">
    <w:name w:val="Hyperlink"/>
    <w:basedOn w:val="a0"/>
    <w:rsid w:val="00F0484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048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3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56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8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26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31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1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60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12190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557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1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484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2015-01-07T08:12:00Z</dcterms:created>
  <dcterms:modified xsi:type="dcterms:W3CDTF">2015-01-08T22:49:00Z</dcterms:modified>
</cp:coreProperties>
</file>