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12C" w:rsidRPr="005867B2" w:rsidRDefault="0037512C" w:rsidP="0037512C">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犊牛吃什么像什么</w:t>
      </w:r>
    </w:p>
    <w:p w:rsidR="0037512C" w:rsidRDefault="0037512C" w:rsidP="0037512C">
      <w:pPr>
        <w:widowControl/>
        <w:shd w:val="clear" w:color="auto" w:fill="F7F8FB"/>
        <w:spacing w:before="100" w:beforeAutospacing="1" w:after="100" w:afterAutospacing="1"/>
        <w:jc w:val="left"/>
        <w:rPr>
          <w:rFonts w:ascii="Arial" w:hAnsi="Arial" w:cs="Arial"/>
          <w:b/>
          <w:bCs/>
          <w:color w:val="2B2B2B"/>
          <w:kern w:val="0"/>
        </w:rPr>
      </w:pPr>
    </w:p>
    <w:p w:rsidR="0037512C" w:rsidRPr="00757FDB" w:rsidRDefault="0037512C" w:rsidP="0037512C">
      <w:pPr>
        <w:widowControl/>
        <w:shd w:val="clear" w:color="auto" w:fill="F7F8FB"/>
        <w:spacing w:before="100" w:beforeAutospacing="1" w:after="100" w:afterAutospacing="1"/>
        <w:jc w:val="left"/>
        <w:rPr>
          <w:rFonts w:ascii="Arial" w:hAnsi="Arial" w:cs="Arial"/>
          <w:color w:val="2B2B2B"/>
          <w:kern w:val="0"/>
          <w:sz w:val="32"/>
          <w:szCs w:val="32"/>
        </w:rPr>
      </w:pPr>
      <w:r w:rsidRPr="00757FDB">
        <w:rPr>
          <w:rFonts w:ascii="Arial" w:hAnsi="Arial" w:cs="Arial"/>
          <w:b/>
          <w:bCs/>
          <w:color w:val="2B2B2B"/>
          <w:kern w:val="0"/>
          <w:sz w:val="32"/>
          <w:szCs w:val="32"/>
        </w:rPr>
        <w:br/>
      </w:r>
      <w:r w:rsidRPr="00757FDB">
        <w:rPr>
          <w:rFonts w:ascii="Arial" w:hAnsi="Arial" w:cs="Arial"/>
          <w:color w:val="2B2B2B"/>
          <w:kern w:val="0"/>
          <w:sz w:val="32"/>
          <w:szCs w:val="32"/>
        </w:rPr>
        <w:t xml:space="preserve">       </w:t>
      </w:r>
      <w:r w:rsidRPr="00757FDB">
        <w:rPr>
          <w:rFonts w:ascii="Arial" w:hAnsi="Arial" w:cs="Arial"/>
          <w:color w:val="2B2B2B"/>
          <w:kern w:val="0"/>
          <w:sz w:val="32"/>
          <w:szCs w:val="32"/>
        </w:rPr>
        <w:t>有一句谚语</w:t>
      </w:r>
      <w:r w:rsidRPr="00757FDB">
        <w:rPr>
          <w:rFonts w:ascii="Arial" w:hAnsi="Arial" w:cs="Arial"/>
          <w:color w:val="2B2B2B"/>
          <w:kern w:val="0"/>
          <w:sz w:val="32"/>
          <w:szCs w:val="32"/>
        </w:rPr>
        <w:t>“</w:t>
      </w:r>
      <w:r w:rsidRPr="00757FDB">
        <w:rPr>
          <w:rFonts w:ascii="Arial" w:hAnsi="Arial" w:cs="Arial"/>
          <w:color w:val="2B2B2B"/>
          <w:kern w:val="0"/>
          <w:sz w:val="32"/>
          <w:szCs w:val="32"/>
        </w:rPr>
        <w:t>吃什么像什么</w:t>
      </w:r>
      <w:r w:rsidRPr="00757FDB">
        <w:rPr>
          <w:rFonts w:ascii="Arial" w:hAnsi="Arial" w:cs="Arial"/>
          <w:color w:val="2B2B2B"/>
          <w:kern w:val="0"/>
          <w:sz w:val="32"/>
          <w:szCs w:val="32"/>
        </w:rPr>
        <w:t>”</w:t>
      </w:r>
      <w:r w:rsidRPr="00757FDB">
        <w:rPr>
          <w:rFonts w:ascii="Arial" w:hAnsi="Arial" w:cs="Arial"/>
          <w:color w:val="2B2B2B"/>
          <w:kern w:val="0"/>
          <w:sz w:val="32"/>
          <w:szCs w:val="32"/>
        </w:rPr>
        <w:t>，这句话同样适于犊牛。</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犊牛生长发育的特殊性是从单胃动物演变为多胃反刍动物。出生时，瘤胃非常小</w:t>
      </w:r>
      <w:r w:rsidRPr="00757FDB">
        <w:rPr>
          <w:rFonts w:ascii="Arial" w:hAnsi="Arial" w:cs="Arial"/>
          <w:color w:val="2B2B2B"/>
          <w:kern w:val="0"/>
          <w:sz w:val="32"/>
          <w:szCs w:val="32"/>
        </w:rPr>
        <w:t>——</w:t>
      </w:r>
      <w:r w:rsidRPr="00757FDB">
        <w:rPr>
          <w:rFonts w:ascii="Arial" w:hAnsi="Arial" w:cs="Arial"/>
          <w:color w:val="2B2B2B"/>
          <w:kern w:val="0"/>
          <w:sz w:val="32"/>
          <w:szCs w:val="32"/>
        </w:rPr>
        <w:t>可能至多有棒球那么大小，在整个消化道中无非是一个</w:t>
      </w:r>
      <w:r w:rsidRPr="00757FDB">
        <w:rPr>
          <w:rFonts w:ascii="Arial" w:hAnsi="Arial" w:cs="Arial"/>
          <w:color w:val="2B2B2B"/>
          <w:kern w:val="0"/>
          <w:sz w:val="32"/>
          <w:szCs w:val="32"/>
        </w:rPr>
        <w:t>“</w:t>
      </w:r>
      <w:r w:rsidRPr="00757FDB">
        <w:rPr>
          <w:rFonts w:ascii="Arial" w:hAnsi="Arial" w:cs="Arial"/>
          <w:color w:val="2B2B2B"/>
          <w:kern w:val="0"/>
          <w:sz w:val="32"/>
          <w:szCs w:val="32"/>
        </w:rPr>
        <w:t>小袋子</w:t>
      </w:r>
      <w:r w:rsidRPr="00757FDB">
        <w:rPr>
          <w:rFonts w:ascii="Arial" w:hAnsi="Arial" w:cs="Arial"/>
          <w:color w:val="2B2B2B"/>
          <w:kern w:val="0"/>
          <w:sz w:val="32"/>
          <w:szCs w:val="32"/>
        </w:rPr>
        <w:t>”</w:t>
      </w:r>
      <w:r w:rsidRPr="00757FDB">
        <w:rPr>
          <w:rFonts w:ascii="Arial" w:hAnsi="Arial" w:cs="Arial"/>
          <w:color w:val="2B2B2B"/>
          <w:kern w:val="0"/>
          <w:sz w:val="32"/>
          <w:szCs w:val="32"/>
        </w:rPr>
        <w:t>。此时，瘤胃尚无消化功能。如果不失时机在这一阶段饲喂高淀粉日粮，那对于瘤胃生长和发育是非常有益的。在</w:t>
      </w:r>
      <w:r w:rsidRPr="00757FDB">
        <w:rPr>
          <w:rFonts w:ascii="Arial" w:hAnsi="Arial" w:cs="Arial"/>
          <w:color w:val="2B2B2B"/>
          <w:kern w:val="0"/>
          <w:sz w:val="32"/>
          <w:szCs w:val="32"/>
        </w:rPr>
        <w:t>6</w:t>
      </w:r>
      <w:r w:rsidRPr="00757FDB">
        <w:rPr>
          <w:rFonts w:ascii="Arial" w:hAnsi="Arial" w:cs="Arial"/>
          <w:color w:val="2B2B2B"/>
          <w:kern w:val="0"/>
          <w:sz w:val="32"/>
          <w:szCs w:val="32"/>
        </w:rPr>
        <w:t>周龄左右接近断奶之时，瘤胃大约为篮球大小。如果一切顺利，</w:t>
      </w:r>
      <w:r w:rsidRPr="00757FDB">
        <w:rPr>
          <w:rFonts w:ascii="Arial" w:hAnsi="Arial" w:cs="Arial"/>
          <w:color w:val="2B2B2B"/>
          <w:kern w:val="0"/>
          <w:sz w:val="32"/>
          <w:szCs w:val="32"/>
        </w:rPr>
        <w:t>12</w:t>
      </w:r>
      <w:r w:rsidRPr="00757FDB">
        <w:rPr>
          <w:rFonts w:ascii="Arial" w:hAnsi="Arial" w:cs="Arial"/>
          <w:color w:val="2B2B2B"/>
          <w:kern w:val="0"/>
          <w:sz w:val="32"/>
          <w:szCs w:val="32"/>
        </w:rPr>
        <w:t>周龄左右时，瘤胃体积类似沙滩球大小。日粮成分和饲喂管理都会影响瘤胃发育。如果日粮淀粉含量较低，那么瘤胃生长发育就会因此减缓。</w:t>
      </w:r>
      <w:r w:rsidRPr="00757FDB">
        <w:rPr>
          <w:rFonts w:ascii="Arial" w:hAnsi="Arial" w:cs="Arial"/>
          <w:color w:val="2B2B2B"/>
          <w:kern w:val="0"/>
          <w:sz w:val="32"/>
          <w:szCs w:val="32"/>
        </w:rPr>
        <w:br/>
        <w:t xml:space="preserve">       </w:t>
      </w:r>
      <w:r w:rsidRPr="00757FDB">
        <w:rPr>
          <w:rFonts w:ascii="Arial" w:hAnsi="Arial" w:cs="Arial"/>
          <w:b/>
          <w:bCs/>
          <w:color w:val="2B2B2B"/>
          <w:kern w:val="0"/>
          <w:sz w:val="32"/>
          <w:szCs w:val="32"/>
        </w:rPr>
        <w:t>犊牛就是婴儿</w:t>
      </w:r>
      <w:r w:rsidRPr="00757FDB">
        <w:rPr>
          <w:rFonts w:ascii="Arial" w:hAnsi="Arial" w:cs="Arial"/>
          <w:b/>
          <w:bCs/>
          <w:color w:val="2B2B2B"/>
          <w:kern w:val="0"/>
          <w:sz w:val="32"/>
          <w:szCs w:val="32"/>
        </w:rPr>
        <w:br/>
      </w:r>
      <w:r w:rsidRPr="00757FDB">
        <w:rPr>
          <w:rFonts w:ascii="Arial" w:hAnsi="Arial" w:cs="Arial"/>
          <w:color w:val="2B2B2B"/>
          <w:kern w:val="0"/>
          <w:sz w:val="32"/>
          <w:szCs w:val="32"/>
        </w:rPr>
        <w:t xml:space="preserve">       </w:t>
      </w:r>
      <w:r w:rsidRPr="00757FDB">
        <w:rPr>
          <w:rFonts w:ascii="Arial" w:hAnsi="Arial" w:cs="Arial"/>
          <w:color w:val="2B2B2B"/>
          <w:kern w:val="0"/>
          <w:sz w:val="32"/>
          <w:szCs w:val="32"/>
        </w:rPr>
        <w:t>做为犊牛饲养者，人们有时忽略了犊牛就是婴儿这一事实。其实，护理犊牛更像照料人婴儿或仔猪。应饲喂淀粉含量高的开食料和促生长料以保证最大日增重。追溯到</w:t>
      </w:r>
      <w:r w:rsidRPr="00757FDB">
        <w:rPr>
          <w:rFonts w:ascii="Arial" w:hAnsi="Arial" w:cs="Arial"/>
          <w:color w:val="2B2B2B"/>
          <w:kern w:val="0"/>
          <w:sz w:val="32"/>
          <w:szCs w:val="32"/>
        </w:rPr>
        <w:t>20</w:t>
      </w:r>
      <w:r w:rsidRPr="00757FDB">
        <w:rPr>
          <w:rFonts w:ascii="Arial" w:hAnsi="Arial" w:cs="Arial"/>
          <w:color w:val="2B2B2B"/>
          <w:kern w:val="0"/>
          <w:sz w:val="32"/>
          <w:szCs w:val="32"/>
        </w:rPr>
        <w:t>世纪</w:t>
      </w:r>
      <w:r w:rsidRPr="00757FDB">
        <w:rPr>
          <w:rFonts w:ascii="Arial" w:hAnsi="Arial" w:cs="Arial"/>
          <w:color w:val="2B2B2B"/>
          <w:kern w:val="0"/>
          <w:sz w:val="32"/>
          <w:szCs w:val="32"/>
        </w:rPr>
        <w:t>50</w:t>
      </w:r>
      <w:r w:rsidRPr="00757FDB">
        <w:rPr>
          <w:rFonts w:ascii="Arial" w:hAnsi="Arial" w:cs="Arial"/>
          <w:color w:val="2B2B2B"/>
          <w:kern w:val="0"/>
          <w:sz w:val="32"/>
          <w:szCs w:val="32"/>
        </w:rPr>
        <w:t>年代的几项研究结果，对此已有十分清楚地阐释。然而，随后的若干研究则显示犊牛增重应归功于富含纤维的日粮。因此，这给科学家、饲料行业人员以及犊牛饲养者造成了困惑。所以，有必要对既往的研究数据重新分析以获得清</w:t>
      </w:r>
      <w:r w:rsidRPr="00757FDB">
        <w:rPr>
          <w:rFonts w:ascii="Arial" w:hAnsi="Arial" w:cs="Arial"/>
          <w:color w:val="2B2B2B"/>
          <w:kern w:val="0"/>
          <w:sz w:val="32"/>
          <w:szCs w:val="32"/>
        </w:rPr>
        <w:lastRenderedPageBreak/>
        <w:t>晰答案。</w:t>
      </w:r>
      <w:r w:rsidRPr="00757FDB">
        <w:rPr>
          <w:rFonts w:ascii="Arial" w:hAnsi="Arial" w:cs="Arial"/>
          <w:color w:val="2B2B2B"/>
          <w:kern w:val="0"/>
          <w:sz w:val="32"/>
          <w:szCs w:val="32"/>
        </w:rPr>
        <w:br/>
        <w:t>       20</w:t>
      </w:r>
      <w:r w:rsidRPr="00757FDB">
        <w:rPr>
          <w:rFonts w:ascii="Arial" w:hAnsi="Arial" w:cs="Arial"/>
          <w:color w:val="2B2B2B"/>
          <w:kern w:val="0"/>
          <w:sz w:val="32"/>
          <w:szCs w:val="32"/>
        </w:rPr>
        <w:t>世纪</w:t>
      </w:r>
      <w:r w:rsidRPr="00757FDB">
        <w:rPr>
          <w:rFonts w:ascii="Arial" w:hAnsi="Arial" w:cs="Arial"/>
          <w:color w:val="2B2B2B"/>
          <w:kern w:val="0"/>
          <w:sz w:val="32"/>
          <w:szCs w:val="32"/>
        </w:rPr>
        <w:t>70</w:t>
      </w:r>
      <w:r w:rsidRPr="00757FDB">
        <w:rPr>
          <w:rFonts w:ascii="Arial" w:hAnsi="Arial" w:cs="Arial"/>
          <w:color w:val="2B2B2B"/>
          <w:kern w:val="0"/>
          <w:sz w:val="32"/>
          <w:szCs w:val="32"/>
        </w:rPr>
        <w:t>年代弗吉尼亚理工大学的科研人员通过研究多种不同浓度犊牛日粮营养成分，最终得出结论：纤维对</w:t>
      </w:r>
      <w:r w:rsidRPr="00757FDB">
        <w:rPr>
          <w:rFonts w:ascii="Arial" w:hAnsi="Arial" w:cs="Arial"/>
          <w:color w:val="2B2B2B"/>
          <w:kern w:val="0"/>
          <w:sz w:val="32"/>
          <w:szCs w:val="32"/>
        </w:rPr>
        <w:t>“</w:t>
      </w:r>
      <w:r w:rsidRPr="00757FDB">
        <w:rPr>
          <w:rFonts w:ascii="Arial" w:hAnsi="Arial" w:cs="Arial"/>
          <w:color w:val="2B2B2B"/>
          <w:kern w:val="0"/>
          <w:sz w:val="32"/>
          <w:szCs w:val="32"/>
        </w:rPr>
        <w:t>真实</w:t>
      </w:r>
      <w:r w:rsidRPr="00757FDB">
        <w:rPr>
          <w:rFonts w:ascii="Arial" w:hAnsi="Arial" w:cs="Arial"/>
          <w:color w:val="2B2B2B"/>
          <w:kern w:val="0"/>
          <w:sz w:val="32"/>
          <w:szCs w:val="32"/>
        </w:rPr>
        <w:t>”</w:t>
      </w:r>
      <w:r w:rsidRPr="00757FDB">
        <w:rPr>
          <w:rFonts w:ascii="Arial" w:hAnsi="Arial" w:cs="Arial"/>
          <w:color w:val="2B2B2B"/>
          <w:kern w:val="0"/>
          <w:sz w:val="32"/>
          <w:szCs w:val="32"/>
        </w:rPr>
        <w:t>增重有显著影响。</w:t>
      </w:r>
      <w:r w:rsidRPr="00757FDB">
        <w:rPr>
          <w:rFonts w:ascii="Arial" w:hAnsi="Arial" w:cs="Arial"/>
          <w:color w:val="2B2B2B"/>
          <w:kern w:val="0"/>
          <w:sz w:val="32"/>
          <w:szCs w:val="32"/>
        </w:rPr>
        <w:t>“</w:t>
      </w:r>
      <w:r w:rsidRPr="00757FDB">
        <w:rPr>
          <w:rFonts w:ascii="Arial" w:hAnsi="Arial" w:cs="Arial"/>
          <w:color w:val="2B2B2B"/>
          <w:kern w:val="0"/>
          <w:sz w:val="32"/>
          <w:szCs w:val="32"/>
        </w:rPr>
        <w:t>真实</w:t>
      </w:r>
      <w:r w:rsidRPr="00757FDB">
        <w:rPr>
          <w:rFonts w:ascii="Arial" w:hAnsi="Arial" w:cs="Arial"/>
          <w:color w:val="2B2B2B"/>
          <w:kern w:val="0"/>
          <w:sz w:val="32"/>
          <w:szCs w:val="32"/>
        </w:rPr>
        <w:t>”</w:t>
      </w:r>
      <w:r w:rsidRPr="00757FDB">
        <w:rPr>
          <w:rFonts w:ascii="Arial" w:hAnsi="Arial" w:cs="Arial"/>
          <w:color w:val="2B2B2B"/>
          <w:kern w:val="0"/>
          <w:sz w:val="32"/>
          <w:szCs w:val="32"/>
        </w:rPr>
        <w:t>增重有时也称之为空腹增重。实践中，犊牛总体重往往通过给犊牛进行简单称重得到。总体重是由空腹体重和肠道填充物重量组成，肠道填充物重量是指消化道内的水和饲料残渣。</w:t>
      </w:r>
    </w:p>
    <w:p w:rsidR="0037512C" w:rsidRPr="005867B2" w:rsidRDefault="0037512C" w:rsidP="0037512C">
      <w:pPr>
        <w:widowControl/>
        <w:shd w:val="clear" w:color="auto" w:fill="F7F8FB"/>
        <w:spacing w:before="100" w:beforeAutospacing="1" w:after="100" w:afterAutospacing="1"/>
        <w:jc w:val="left"/>
        <w:rPr>
          <w:rFonts w:ascii="Arial" w:hAnsi="Arial" w:cs="Arial"/>
          <w:color w:val="2B2B2B"/>
          <w:kern w:val="0"/>
          <w:szCs w:val="21"/>
        </w:rPr>
      </w:pPr>
      <w:r w:rsidRPr="00757FDB">
        <w:rPr>
          <w:rFonts w:ascii="Arial" w:hAnsi="Arial" w:cs="Arial"/>
          <w:color w:val="2B2B2B"/>
          <w:kern w:val="0"/>
          <w:sz w:val="32"/>
          <w:szCs w:val="32"/>
        </w:rPr>
        <w:br/>
        <w:t xml:space="preserve">       </w:t>
      </w:r>
      <w:r w:rsidRPr="00757FDB">
        <w:rPr>
          <w:rFonts w:ascii="Arial" w:hAnsi="Arial" w:cs="Arial"/>
          <w:b/>
          <w:bCs/>
          <w:color w:val="2B2B2B"/>
          <w:kern w:val="0"/>
          <w:sz w:val="32"/>
          <w:szCs w:val="32"/>
        </w:rPr>
        <w:t>总体重的误导</w:t>
      </w:r>
      <w:r w:rsidRPr="00757FDB">
        <w:rPr>
          <w:rFonts w:ascii="Arial" w:hAnsi="Arial" w:cs="Arial"/>
          <w:b/>
          <w:bCs/>
          <w:color w:val="2B2B2B"/>
          <w:kern w:val="0"/>
          <w:sz w:val="32"/>
          <w:szCs w:val="32"/>
        </w:rPr>
        <w:br/>
      </w:r>
      <w:r w:rsidRPr="00757FDB">
        <w:rPr>
          <w:rFonts w:ascii="Arial" w:hAnsi="Arial" w:cs="Arial"/>
          <w:color w:val="2B2B2B"/>
          <w:kern w:val="0"/>
          <w:sz w:val="32"/>
          <w:szCs w:val="32"/>
        </w:rPr>
        <w:t xml:space="preserve">       </w:t>
      </w:r>
      <w:r w:rsidRPr="00757FDB">
        <w:rPr>
          <w:rFonts w:ascii="Arial" w:hAnsi="Arial" w:cs="Arial"/>
          <w:color w:val="2B2B2B"/>
          <w:kern w:val="0"/>
          <w:sz w:val="32"/>
          <w:szCs w:val="32"/>
        </w:rPr>
        <w:t>在弗吉尼亚理工大学研究中，蛋白摄入量照常，由于日粮中酸性洗涤纤维（</w:t>
      </w:r>
      <w:r w:rsidRPr="00757FDB">
        <w:rPr>
          <w:rFonts w:ascii="Arial" w:hAnsi="Arial" w:cs="Arial"/>
          <w:color w:val="2B2B2B"/>
          <w:kern w:val="0"/>
          <w:sz w:val="32"/>
          <w:szCs w:val="32"/>
        </w:rPr>
        <w:t>ADF</w:t>
      </w:r>
      <w:r w:rsidRPr="00757FDB">
        <w:rPr>
          <w:rFonts w:ascii="Arial" w:hAnsi="Arial" w:cs="Arial"/>
          <w:color w:val="2B2B2B"/>
          <w:kern w:val="0"/>
          <w:sz w:val="32"/>
          <w:szCs w:val="32"/>
        </w:rPr>
        <w:t>）增加，导致肠道填充物重量增加，但空腹增重减少。对此，可做以下形象化理解：以</w:t>
      </w:r>
      <w:r w:rsidRPr="00757FDB">
        <w:rPr>
          <w:rFonts w:ascii="Arial" w:hAnsi="Arial" w:cs="Arial"/>
          <w:color w:val="2B2B2B"/>
          <w:kern w:val="0"/>
          <w:sz w:val="32"/>
          <w:szCs w:val="32"/>
        </w:rPr>
        <w:t>81.6</w:t>
      </w:r>
      <w:r w:rsidRPr="00757FDB">
        <w:rPr>
          <w:rFonts w:ascii="Arial" w:hAnsi="Arial" w:cs="Arial"/>
          <w:color w:val="2B2B2B"/>
          <w:kern w:val="0"/>
          <w:sz w:val="32"/>
          <w:szCs w:val="32"/>
        </w:rPr>
        <w:t>公斤</w:t>
      </w:r>
      <w:r w:rsidRPr="00757FDB">
        <w:rPr>
          <w:rFonts w:ascii="Arial" w:hAnsi="Arial" w:cs="Arial"/>
          <w:color w:val="2B2B2B"/>
          <w:kern w:val="0"/>
          <w:sz w:val="32"/>
          <w:szCs w:val="32"/>
        </w:rPr>
        <w:t>-136</w:t>
      </w:r>
      <w:r w:rsidRPr="00757FDB">
        <w:rPr>
          <w:rFonts w:ascii="Arial" w:hAnsi="Arial" w:cs="Arial"/>
          <w:color w:val="2B2B2B"/>
          <w:kern w:val="0"/>
          <w:sz w:val="32"/>
          <w:szCs w:val="32"/>
        </w:rPr>
        <w:t>公斤重犊牛为例，将肠道填充物重量排列为对应日粮中</w:t>
      </w:r>
      <w:r w:rsidRPr="00757FDB">
        <w:rPr>
          <w:rFonts w:ascii="Arial" w:hAnsi="Arial" w:cs="Arial"/>
          <w:color w:val="2B2B2B"/>
          <w:kern w:val="0"/>
          <w:sz w:val="32"/>
          <w:szCs w:val="32"/>
        </w:rPr>
        <w:t>ADF</w:t>
      </w:r>
      <w:r w:rsidRPr="00757FDB">
        <w:rPr>
          <w:rFonts w:ascii="Arial" w:hAnsi="Arial" w:cs="Arial"/>
          <w:color w:val="2B2B2B"/>
          <w:kern w:val="0"/>
          <w:sz w:val="32"/>
          <w:szCs w:val="32"/>
        </w:rPr>
        <w:t>浓度的相对指数。可观察到随着日粮</w:t>
      </w:r>
      <w:r w:rsidRPr="00757FDB">
        <w:rPr>
          <w:rFonts w:ascii="Arial" w:hAnsi="Arial" w:cs="Arial"/>
          <w:color w:val="2B2B2B"/>
          <w:kern w:val="0"/>
          <w:sz w:val="32"/>
          <w:szCs w:val="32"/>
        </w:rPr>
        <w:t>ADF</w:t>
      </w:r>
      <w:r w:rsidRPr="00757FDB">
        <w:rPr>
          <w:rFonts w:ascii="Arial" w:hAnsi="Arial" w:cs="Arial"/>
          <w:color w:val="2B2B2B"/>
          <w:kern w:val="0"/>
          <w:sz w:val="32"/>
          <w:szCs w:val="32"/>
        </w:rPr>
        <w:t>含量升高，肠道填充物重量亦显著升高。因此，简单地给犊牛称重并不能反映空腹增重的实际情况。弗吉尼亚理工大学研究人员应将含有不同纤维数量的开食料进行饲喂比较，并对肠道填充物重量做校正以得到</w:t>
      </w:r>
      <w:r w:rsidRPr="00757FDB">
        <w:rPr>
          <w:rFonts w:ascii="Arial" w:hAnsi="Arial" w:cs="Arial"/>
          <w:color w:val="2B2B2B"/>
          <w:kern w:val="0"/>
          <w:sz w:val="32"/>
          <w:szCs w:val="32"/>
        </w:rPr>
        <w:t>“</w:t>
      </w:r>
      <w:r w:rsidRPr="00757FDB">
        <w:rPr>
          <w:rFonts w:ascii="Arial" w:hAnsi="Arial" w:cs="Arial"/>
          <w:color w:val="2B2B2B"/>
          <w:kern w:val="0"/>
          <w:sz w:val="32"/>
          <w:szCs w:val="32"/>
        </w:rPr>
        <w:t>真实</w:t>
      </w:r>
      <w:r w:rsidRPr="00757FDB">
        <w:rPr>
          <w:rFonts w:ascii="Arial" w:hAnsi="Arial" w:cs="Arial"/>
          <w:color w:val="2B2B2B"/>
          <w:kern w:val="0"/>
          <w:sz w:val="32"/>
          <w:szCs w:val="32"/>
        </w:rPr>
        <w:t>”</w:t>
      </w:r>
      <w:r w:rsidRPr="00757FDB">
        <w:rPr>
          <w:rFonts w:ascii="Arial" w:hAnsi="Arial" w:cs="Arial"/>
          <w:color w:val="2B2B2B"/>
          <w:kern w:val="0"/>
          <w:sz w:val="32"/>
          <w:szCs w:val="32"/>
        </w:rPr>
        <w:t>空腹增重，这样就能获得犊牛的精确增重。</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表中显示饲喂不同类型、含不同量纤维日粮后犊牛总重量、肠道填充物重量以及空腹体重的结果。在试验</w:t>
      </w:r>
      <w:r w:rsidRPr="00757FDB">
        <w:rPr>
          <w:rFonts w:ascii="Arial" w:hAnsi="Arial" w:cs="Arial"/>
          <w:color w:val="2B2B2B"/>
          <w:kern w:val="0"/>
          <w:sz w:val="32"/>
          <w:szCs w:val="32"/>
        </w:rPr>
        <w:t>1</w:t>
      </w:r>
      <w:r w:rsidRPr="00757FDB">
        <w:rPr>
          <w:rFonts w:ascii="Arial" w:hAnsi="Arial" w:cs="Arial"/>
          <w:color w:val="2B2B2B"/>
          <w:kern w:val="0"/>
          <w:sz w:val="32"/>
          <w:szCs w:val="32"/>
        </w:rPr>
        <w:t>，分别用含</w:t>
      </w:r>
      <w:r w:rsidRPr="00757FDB">
        <w:rPr>
          <w:rFonts w:ascii="Arial" w:hAnsi="Arial" w:cs="Arial"/>
          <w:color w:val="2B2B2B"/>
          <w:kern w:val="0"/>
          <w:sz w:val="32"/>
          <w:szCs w:val="32"/>
        </w:rPr>
        <w:t>60%</w:t>
      </w:r>
      <w:r w:rsidRPr="00757FDB">
        <w:rPr>
          <w:rFonts w:ascii="Arial" w:hAnsi="Arial" w:cs="Arial"/>
          <w:color w:val="2B2B2B"/>
          <w:kern w:val="0"/>
          <w:sz w:val="32"/>
          <w:szCs w:val="32"/>
        </w:rPr>
        <w:t>的玉米（高淀粉、低纤维）或</w:t>
      </w:r>
      <w:r w:rsidRPr="00757FDB">
        <w:rPr>
          <w:rFonts w:ascii="Arial" w:hAnsi="Arial" w:cs="Arial"/>
          <w:color w:val="2B2B2B"/>
          <w:kern w:val="0"/>
          <w:sz w:val="32"/>
          <w:szCs w:val="32"/>
        </w:rPr>
        <w:t>60%</w:t>
      </w:r>
      <w:r w:rsidRPr="00757FDB">
        <w:rPr>
          <w:rFonts w:ascii="Arial" w:hAnsi="Arial" w:cs="Arial"/>
          <w:color w:val="2B2B2B"/>
          <w:kern w:val="0"/>
          <w:sz w:val="32"/>
          <w:szCs w:val="32"/>
        </w:rPr>
        <w:t>的大豆壳颗粒</w:t>
      </w:r>
      <w:r w:rsidRPr="00757FDB">
        <w:rPr>
          <w:rFonts w:ascii="Arial" w:hAnsi="Arial" w:cs="Arial"/>
          <w:color w:val="2B2B2B"/>
          <w:kern w:val="0"/>
          <w:sz w:val="32"/>
          <w:szCs w:val="32"/>
        </w:rPr>
        <w:lastRenderedPageBreak/>
        <w:t>（低淀粉、高纤维）的开食料饲喂</w:t>
      </w:r>
      <w:r w:rsidRPr="00757FDB">
        <w:rPr>
          <w:rFonts w:ascii="Arial" w:hAnsi="Arial" w:cs="Arial"/>
          <w:color w:val="2B2B2B"/>
          <w:kern w:val="0"/>
          <w:sz w:val="32"/>
          <w:szCs w:val="32"/>
        </w:rPr>
        <w:t>2</w:t>
      </w:r>
      <w:r w:rsidRPr="00757FDB">
        <w:rPr>
          <w:rFonts w:ascii="Arial" w:hAnsi="Arial" w:cs="Arial"/>
          <w:color w:val="2B2B2B"/>
          <w:kern w:val="0"/>
          <w:sz w:val="32"/>
          <w:szCs w:val="32"/>
        </w:rPr>
        <w:t>月龄以下的犊牛。与玉米含量高的开食料相比，饲喂高含量大豆壳开食料的犊牛增重明显降低。</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在试验</w:t>
      </w:r>
      <w:r w:rsidRPr="00757FDB">
        <w:rPr>
          <w:rFonts w:ascii="Arial" w:hAnsi="Arial" w:cs="Arial"/>
          <w:color w:val="2B2B2B"/>
          <w:kern w:val="0"/>
          <w:sz w:val="32"/>
          <w:szCs w:val="32"/>
        </w:rPr>
        <w:t>2</w:t>
      </w:r>
      <w:r w:rsidRPr="00757FDB">
        <w:rPr>
          <w:rFonts w:ascii="Arial" w:hAnsi="Arial" w:cs="Arial"/>
          <w:color w:val="2B2B2B"/>
          <w:kern w:val="0"/>
          <w:sz w:val="32"/>
          <w:szCs w:val="32"/>
        </w:rPr>
        <w:t>，给</w:t>
      </w:r>
      <w:r w:rsidRPr="00757FDB">
        <w:rPr>
          <w:rFonts w:ascii="Arial" w:hAnsi="Arial" w:cs="Arial"/>
          <w:color w:val="2B2B2B"/>
          <w:kern w:val="0"/>
          <w:sz w:val="32"/>
          <w:szCs w:val="32"/>
        </w:rPr>
        <w:t>3</w:t>
      </w:r>
      <w:r w:rsidRPr="00757FDB">
        <w:rPr>
          <w:rFonts w:ascii="Arial" w:hAnsi="Arial" w:cs="Arial"/>
          <w:color w:val="2B2B2B"/>
          <w:kern w:val="0"/>
          <w:sz w:val="32"/>
          <w:szCs w:val="32"/>
        </w:rPr>
        <w:t>月龄以上的犊牛饲喂如试验</w:t>
      </w:r>
      <w:r w:rsidRPr="00757FDB">
        <w:rPr>
          <w:rFonts w:ascii="Arial" w:hAnsi="Arial" w:cs="Arial"/>
          <w:color w:val="2B2B2B"/>
          <w:kern w:val="0"/>
          <w:sz w:val="32"/>
          <w:szCs w:val="32"/>
        </w:rPr>
        <w:t>1</w:t>
      </w:r>
      <w:r w:rsidRPr="00757FDB">
        <w:rPr>
          <w:rFonts w:ascii="Arial" w:hAnsi="Arial" w:cs="Arial"/>
          <w:color w:val="2B2B2B"/>
          <w:kern w:val="0"/>
          <w:sz w:val="32"/>
          <w:szCs w:val="32"/>
        </w:rPr>
        <w:t>的日粮，与高玉米水平（</w:t>
      </w:r>
      <w:r w:rsidRPr="00757FDB">
        <w:rPr>
          <w:rFonts w:ascii="Arial" w:hAnsi="Arial" w:cs="Arial"/>
          <w:color w:val="2B2B2B"/>
          <w:kern w:val="0"/>
          <w:sz w:val="32"/>
          <w:szCs w:val="32"/>
        </w:rPr>
        <w:t>60%</w:t>
      </w:r>
      <w:r w:rsidRPr="00757FDB">
        <w:rPr>
          <w:rFonts w:ascii="Arial" w:hAnsi="Arial" w:cs="Arial"/>
          <w:color w:val="2B2B2B"/>
          <w:kern w:val="0"/>
          <w:sz w:val="32"/>
          <w:szCs w:val="32"/>
        </w:rPr>
        <w:t>玉米）日粮相比，饲喂大豆壳水平高（仅</w:t>
      </w:r>
      <w:r w:rsidRPr="00757FDB">
        <w:rPr>
          <w:rFonts w:ascii="Arial" w:hAnsi="Arial" w:cs="Arial"/>
          <w:color w:val="2B2B2B"/>
          <w:kern w:val="0"/>
          <w:sz w:val="32"/>
          <w:szCs w:val="32"/>
        </w:rPr>
        <w:t>20%</w:t>
      </w:r>
      <w:r w:rsidRPr="00757FDB">
        <w:rPr>
          <w:rFonts w:ascii="Arial" w:hAnsi="Arial" w:cs="Arial"/>
          <w:color w:val="2B2B2B"/>
          <w:kern w:val="0"/>
          <w:sz w:val="32"/>
          <w:szCs w:val="32"/>
        </w:rPr>
        <w:t>玉米）的日粮犊牛增重相对较小。</w:t>
      </w:r>
      <w:r w:rsidRPr="00757FDB">
        <w:rPr>
          <w:rFonts w:ascii="Arial" w:hAnsi="Arial" w:cs="Arial"/>
          <w:color w:val="2B2B2B"/>
          <w:kern w:val="0"/>
          <w:sz w:val="32"/>
          <w:szCs w:val="32"/>
        </w:rPr>
        <w:t>20%</w:t>
      </w:r>
      <w:r w:rsidRPr="00757FDB">
        <w:rPr>
          <w:rFonts w:ascii="Arial" w:hAnsi="Arial" w:cs="Arial"/>
          <w:color w:val="2B2B2B"/>
          <w:kern w:val="0"/>
          <w:sz w:val="32"/>
          <w:szCs w:val="32"/>
        </w:rPr>
        <w:t>玉米水平的日粮中还添加了小麦糙粉、大豆壳、苜蓿草粉、玉米蛋白粉、甜菜浆以及棉籽壳以提高日粮的纤维水平。</w:t>
      </w:r>
      <w:r w:rsidRPr="00757FDB">
        <w:rPr>
          <w:rFonts w:ascii="Arial" w:hAnsi="Arial" w:cs="Arial"/>
          <w:color w:val="2B2B2B"/>
          <w:kern w:val="0"/>
          <w:sz w:val="32"/>
          <w:szCs w:val="32"/>
        </w:rPr>
        <w:br/>
      </w:r>
      <w:r w:rsidRPr="00757FDB">
        <w:rPr>
          <w:rFonts w:ascii="Arial" w:hAnsi="Arial" w:cs="Arial"/>
          <w:color w:val="2B2B2B"/>
          <w:kern w:val="0"/>
          <w:sz w:val="32"/>
          <w:szCs w:val="32"/>
        </w:rPr>
        <w:t>试验</w:t>
      </w:r>
      <w:r w:rsidRPr="00757FDB">
        <w:rPr>
          <w:rFonts w:ascii="Arial" w:hAnsi="Arial" w:cs="Arial"/>
          <w:color w:val="2B2B2B"/>
          <w:kern w:val="0"/>
          <w:sz w:val="32"/>
          <w:szCs w:val="32"/>
        </w:rPr>
        <w:t>2</w:t>
      </w:r>
      <w:r w:rsidRPr="00757FDB">
        <w:rPr>
          <w:rFonts w:ascii="Arial" w:hAnsi="Arial" w:cs="Arial"/>
          <w:color w:val="2B2B2B"/>
          <w:kern w:val="0"/>
          <w:sz w:val="32"/>
          <w:szCs w:val="32"/>
        </w:rPr>
        <w:t>中，饲喂低玉米水平日粮的犊牛获得了最高的总体重，但肠填充重量多出</w:t>
      </w:r>
      <w:r w:rsidRPr="00757FDB">
        <w:rPr>
          <w:rFonts w:ascii="Arial" w:hAnsi="Arial" w:cs="Arial"/>
          <w:color w:val="2B2B2B"/>
          <w:kern w:val="0"/>
          <w:sz w:val="32"/>
          <w:szCs w:val="32"/>
        </w:rPr>
        <w:t>9.5</w:t>
      </w:r>
      <w:r w:rsidRPr="00757FDB">
        <w:rPr>
          <w:rFonts w:ascii="Arial" w:hAnsi="Arial" w:cs="Arial"/>
          <w:color w:val="2B2B2B"/>
          <w:kern w:val="0"/>
          <w:sz w:val="32"/>
          <w:szCs w:val="32"/>
        </w:rPr>
        <w:t>公斤。与饲喂高玉米水平日粮的犊牛相比，饲喂低玉米水平日粮的犊牛空腹增重更差。</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在试验</w:t>
      </w:r>
      <w:r w:rsidRPr="00757FDB">
        <w:rPr>
          <w:rFonts w:ascii="Arial" w:hAnsi="Arial" w:cs="Arial"/>
          <w:color w:val="2B2B2B"/>
          <w:kern w:val="0"/>
          <w:sz w:val="32"/>
          <w:szCs w:val="32"/>
        </w:rPr>
        <w:t>3</w:t>
      </w:r>
      <w:r w:rsidRPr="00757FDB">
        <w:rPr>
          <w:rFonts w:ascii="Arial" w:hAnsi="Arial" w:cs="Arial"/>
          <w:color w:val="2B2B2B"/>
          <w:kern w:val="0"/>
          <w:sz w:val="32"/>
          <w:szCs w:val="32"/>
        </w:rPr>
        <w:t>，对</w:t>
      </w:r>
      <w:r w:rsidRPr="00757FDB">
        <w:rPr>
          <w:rFonts w:ascii="Arial" w:hAnsi="Arial" w:cs="Arial"/>
          <w:color w:val="2B2B2B"/>
          <w:kern w:val="0"/>
          <w:sz w:val="32"/>
          <w:szCs w:val="32"/>
        </w:rPr>
        <w:t>2</w:t>
      </w:r>
      <w:r w:rsidRPr="00757FDB">
        <w:rPr>
          <w:rFonts w:ascii="Arial" w:hAnsi="Arial" w:cs="Arial"/>
          <w:color w:val="2B2B2B"/>
          <w:kern w:val="0"/>
          <w:sz w:val="32"/>
          <w:szCs w:val="32"/>
        </w:rPr>
        <w:t>至</w:t>
      </w:r>
      <w:r w:rsidRPr="00757FDB">
        <w:rPr>
          <w:rFonts w:ascii="Arial" w:hAnsi="Arial" w:cs="Arial"/>
          <w:color w:val="2B2B2B"/>
          <w:kern w:val="0"/>
          <w:sz w:val="32"/>
          <w:szCs w:val="32"/>
        </w:rPr>
        <w:t>4</w:t>
      </w:r>
      <w:r w:rsidRPr="00757FDB">
        <w:rPr>
          <w:rFonts w:ascii="Arial" w:hAnsi="Arial" w:cs="Arial"/>
          <w:color w:val="2B2B2B"/>
          <w:kern w:val="0"/>
          <w:sz w:val="32"/>
          <w:szCs w:val="32"/>
        </w:rPr>
        <w:t>月龄的犊牛饲喂高玉米水平的粗料日粮，但是其中一组未添加小麦秸，另一组添加</w:t>
      </w:r>
      <w:r w:rsidRPr="00757FDB">
        <w:rPr>
          <w:rFonts w:ascii="Arial" w:hAnsi="Arial" w:cs="Arial"/>
          <w:color w:val="2B2B2B"/>
          <w:kern w:val="0"/>
          <w:sz w:val="32"/>
          <w:szCs w:val="32"/>
        </w:rPr>
        <w:t>9%</w:t>
      </w:r>
      <w:r w:rsidRPr="00757FDB">
        <w:rPr>
          <w:rFonts w:ascii="Arial" w:hAnsi="Arial" w:cs="Arial"/>
          <w:color w:val="2B2B2B"/>
          <w:kern w:val="0"/>
          <w:sz w:val="32"/>
          <w:szCs w:val="32"/>
        </w:rPr>
        <w:t>的小麦秸。结果，因大量的小麦秸占据了瘤胃空间而降低了采食和增重。空腹增重效果与试验</w:t>
      </w:r>
      <w:r w:rsidRPr="00757FDB">
        <w:rPr>
          <w:rFonts w:ascii="Arial" w:hAnsi="Arial" w:cs="Arial"/>
          <w:color w:val="2B2B2B"/>
          <w:kern w:val="0"/>
          <w:sz w:val="32"/>
          <w:szCs w:val="32"/>
        </w:rPr>
        <w:t>1</w:t>
      </w:r>
      <w:r w:rsidRPr="00757FDB">
        <w:rPr>
          <w:rFonts w:ascii="Arial" w:hAnsi="Arial" w:cs="Arial"/>
          <w:color w:val="2B2B2B"/>
          <w:kern w:val="0"/>
          <w:sz w:val="32"/>
          <w:szCs w:val="32"/>
        </w:rPr>
        <w:t>和</w:t>
      </w:r>
      <w:r w:rsidRPr="00757FDB">
        <w:rPr>
          <w:rFonts w:ascii="Arial" w:hAnsi="Arial" w:cs="Arial"/>
          <w:color w:val="2B2B2B"/>
          <w:kern w:val="0"/>
          <w:sz w:val="32"/>
          <w:szCs w:val="32"/>
        </w:rPr>
        <w:t>2</w:t>
      </w:r>
      <w:r w:rsidRPr="00757FDB">
        <w:rPr>
          <w:rFonts w:ascii="Arial" w:hAnsi="Arial" w:cs="Arial"/>
          <w:color w:val="2B2B2B"/>
          <w:kern w:val="0"/>
          <w:sz w:val="32"/>
          <w:szCs w:val="32"/>
        </w:rPr>
        <w:t>相似。不过，肠道填充重量两组之间差异很小，这是由于小麦秸不像试验</w:t>
      </w:r>
      <w:r w:rsidRPr="00757FDB">
        <w:rPr>
          <w:rFonts w:ascii="Arial" w:hAnsi="Arial" w:cs="Arial"/>
          <w:color w:val="2B2B2B"/>
          <w:kern w:val="0"/>
          <w:sz w:val="32"/>
          <w:szCs w:val="32"/>
        </w:rPr>
        <w:t>1</w:t>
      </w:r>
      <w:r w:rsidRPr="00757FDB">
        <w:rPr>
          <w:rFonts w:ascii="Arial" w:hAnsi="Arial" w:cs="Arial"/>
          <w:color w:val="2B2B2B"/>
          <w:kern w:val="0"/>
          <w:sz w:val="32"/>
          <w:szCs w:val="32"/>
        </w:rPr>
        <w:t>和</w:t>
      </w:r>
      <w:r w:rsidRPr="00757FDB">
        <w:rPr>
          <w:rFonts w:ascii="Arial" w:hAnsi="Arial" w:cs="Arial"/>
          <w:color w:val="2B2B2B"/>
          <w:kern w:val="0"/>
          <w:sz w:val="32"/>
          <w:szCs w:val="32"/>
        </w:rPr>
        <w:t>2</w:t>
      </w:r>
      <w:r w:rsidRPr="00757FDB">
        <w:rPr>
          <w:rFonts w:ascii="Arial" w:hAnsi="Arial" w:cs="Arial"/>
          <w:color w:val="2B2B2B"/>
          <w:kern w:val="0"/>
          <w:sz w:val="32"/>
          <w:szCs w:val="32"/>
        </w:rPr>
        <w:t>使用的其他纤维那样可以保有或吸收更多的水分。</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幼小犊牛消化道不存在可以消化纤维的酶，也无业已充分完善建立的微生物菌群来发酵消化纤维。如饲喂大量干草、小麦秸、玉米青贮、苜蓿青贮等，这会挤占相当多的瘤胃空间，取代了瘤胃原可消化谷物和蛋白的空间。常见的错误是断奶后马上饲喂粗饲料。</w:t>
      </w:r>
      <w:r w:rsidRPr="00757FDB">
        <w:rPr>
          <w:rFonts w:ascii="Arial" w:hAnsi="Arial" w:cs="Arial"/>
          <w:color w:val="2B2B2B"/>
          <w:kern w:val="0"/>
          <w:sz w:val="32"/>
          <w:szCs w:val="32"/>
        </w:rPr>
        <w:t>3</w:t>
      </w:r>
      <w:r w:rsidRPr="00757FDB">
        <w:rPr>
          <w:rFonts w:ascii="Arial" w:hAnsi="Arial" w:cs="Arial"/>
          <w:color w:val="2B2B2B"/>
          <w:kern w:val="0"/>
          <w:sz w:val="32"/>
          <w:szCs w:val="32"/>
        </w:rPr>
        <w:t>月龄犊牛的瘤胃容量或其瘤胃内</w:t>
      </w:r>
      <w:r w:rsidRPr="00757FDB">
        <w:rPr>
          <w:rFonts w:ascii="Arial" w:hAnsi="Arial" w:cs="Arial"/>
          <w:color w:val="2B2B2B"/>
          <w:kern w:val="0"/>
          <w:sz w:val="32"/>
          <w:szCs w:val="32"/>
        </w:rPr>
        <w:lastRenderedPageBreak/>
        <w:t>微生物尚无能力消化吸收自由采食的大量干草或纤维性饲料如大豆壳、小麦糙粉、棉籽壳和玉米麸等。这种错误使断奶时犊牛体况与断奶后</w:t>
      </w:r>
      <w:r w:rsidRPr="00757FDB">
        <w:rPr>
          <w:rFonts w:ascii="Arial" w:hAnsi="Arial" w:cs="Arial"/>
          <w:color w:val="2B2B2B"/>
          <w:kern w:val="0"/>
          <w:sz w:val="32"/>
          <w:szCs w:val="32"/>
        </w:rPr>
        <w:t>3-4</w:t>
      </w:r>
      <w:r w:rsidRPr="00757FDB">
        <w:rPr>
          <w:rFonts w:ascii="Arial" w:hAnsi="Arial" w:cs="Arial"/>
          <w:color w:val="2B2B2B"/>
          <w:kern w:val="0"/>
          <w:sz w:val="32"/>
          <w:szCs w:val="32"/>
        </w:rPr>
        <w:t>周有非常明显的差异。</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通常犊牛断奶时体况良好，如筒状肠，被毛光滑。断奶前，这些犊牛被给予牛奶或代乳粉，以及开食料。断奶后，这些犊牛则被转移到另一个圈并与其他犊牛合群，每天限喂开食料或促生长料大约至</w:t>
      </w:r>
      <w:r w:rsidRPr="00757FDB">
        <w:rPr>
          <w:rFonts w:ascii="Arial" w:hAnsi="Arial" w:cs="Arial"/>
          <w:color w:val="2B2B2B"/>
          <w:kern w:val="0"/>
          <w:sz w:val="32"/>
          <w:szCs w:val="32"/>
        </w:rPr>
        <w:t>2.3</w:t>
      </w:r>
      <w:r w:rsidRPr="00757FDB">
        <w:rPr>
          <w:rFonts w:ascii="Arial" w:hAnsi="Arial" w:cs="Arial"/>
          <w:color w:val="2B2B2B"/>
          <w:kern w:val="0"/>
          <w:sz w:val="32"/>
          <w:szCs w:val="32"/>
        </w:rPr>
        <w:t>公斤，但允许自由采食干草或粗饲料。因此，这使犊牛吃什么象什么。体况越来越糟糕，被毛粗乱，逐步发展成</w:t>
      </w:r>
      <w:r w:rsidRPr="00757FDB">
        <w:rPr>
          <w:rFonts w:ascii="Arial" w:hAnsi="Arial" w:cs="Arial"/>
          <w:color w:val="2B2B2B"/>
          <w:kern w:val="0"/>
          <w:sz w:val="32"/>
          <w:szCs w:val="32"/>
        </w:rPr>
        <w:t>“</w:t>
      </w:r>
      <w:r w:rsidRPr="00757FDB">
        <w:rPr>
          <w:rFonts w:ascii="Arial" w:hAnsi="Arial" w:cs="Arial"/>
          <w:color w:val="2B2B2B"/>
          <w:kern w:val="0"/>
          <w:sz w:val="32"/>
          <w:szCs w:val="32"/>
        </w:rPr>
        <w:t>草腹</w:t>
      </w:r>
      <w:r w:rsidRPr="00757FDB">
        <w:rPr>
          <w:rFonts w:ascii="Arial" w:hAnsi="Arial" w:cs="Arial"/>
          <w:color w:val="2B2B2B"/>
          <w:kern w:val="0"/>
          <w:sz w:val="32"/>
          <w:szCs w:val="32"/>
        </w:rPr>
        <w:t>”</w:t>
      </w:r>
      <w:r w:rsidRPr="00757FDB">
        <w:rPr>
          <w:rFonts w:ascii="Arial" w:hAnsi="Arial" w:cs="Arial"/>
          <w:color w:val="2B2B2B"/>
          <w:kern w:val="0"/>
          <w:sz w:val="32"/>
          <w:szCs w:val="32"/>
        </w:rPr>
        <w:t>。由于粗料日粮限制了能量摄入，导致骨架结构发育减缓。犊牛断奶后，饲喂高谷物含量日粮并限制高质量粗饲料采食，会使犊牛增重迅速。以及骨架结构同步发育良好。上述试验证实，骨架发育与增重相平行，尚无证据表明给予高淀粉日粮会使犊牛体况过肥。</w:t>
      </w:r>
      <w:r w:rsidRPr="00757FDB">
        <w:rPr>
          <w:rFonts w:ascii="Arial" w:hAnsi="Arial" w:cs="Arial"/>
          <w:color w:val="2B2B2B"/>
          <w:kern w:val="0"/>
          <w:sz w:val="32"/>
          <w:szCs w:val="32"/>
        </w:rPr>
        <w:br/>
        <w:t xml:space="preserve">       </w:t>
      </w:r>
      <w:r w:rsidRPr="00757FDB">
        <w:rPr>
          <w:rFonts w:ascii="Arial" w:hAnsi="Arial" w:cs="Arial"/>
          <w:color w:val="2B2B2B"/>
          <w:kern w:val="0"/>
          <w:sz w:val="32"/>
          <w:szCs w:val="32"/>
        </w:rPr>
        <w:t>在</w:t>
      </w:r>
      <w:r w:rsidRPr="00757FDB">
        <w:rPr>
          <w:rFonts w:ascii="Arial" w:hAnsi="Arial" w:cs="Arial"/>
          <w:color w:val="2B2B2B"/>
          <w:kern w:val="0"/>
          <w:sz w:val="32"/>
          <w:szCs w:val="32"/>
        </w:rPr>
        <w:t>4</w:t>
      </w:r>
      <w:r w:rsidRPr="00757FDB">
        <w:rPr>
          <w:rFonts w:ascii="Arial" w:hAnsi="Arial" w:cs="Arial"/>
          <w:color w:val="2B2B2B"/>
          <w:kern w:val="0"/>
          <w:sz w:val="32"/>
          <w:szCs w:val="32"/>
        </w:rPr>
        <w:t>月龄前，饲喂犊牛应象饲喂小猪那样，不限制其采食高玉米水平日粮。</w:t>
      </w:r>
      <w:r w:rsidRPr="00757FDB">
        <w:rPr>
          <w:rFonts w:ascii="Arial" w:hAnsi="Arial" w:cs="Arial"/>
          <w:color w:val="2B2B2B"/>
          <w:kern w:val="0"/>
          <w:sz w:val="32"/>
          <w:szCs w:val="32"/>
        </w:rPr>
        <w:t>2</w:t>
      </w:r>
      <w:r w:rsidRPr="00757FDB">
        <w:rPr>
          <w:rFonts w:ascii="Arial" w:hAnsi="Arial" w:cs="Arial"/>
          <w:color w:val="2B2B2B"/>
          <w:kern w:val="0"/>
          <w:sz w:val="32"/>
          <w:szCs w:val="32"/>
        </w:rPr>
        <w:t>月龄后再开始饲喂干草，但在</w:t>
      </w:r>
      <w:r w:rsidRPr="00757FDB">
        <w:rPr>
          <w:rFonts w:ascii="Arial" w:hAnsi="Arial" w:cs="Arial"/>
          <w:color w:val="2B2B2B"/>
          <w:kern w:val="0"/>
          <w:sz w:val="32"/>
          <w:szCs w:val="32"/>
        </w:rPr>
        <w:t>2</w:t>
      </w:r>
      <w:r w:rsidRPr="00757FDB">
        <w:rPr>
          <w:rFonts w:ascii="Arial" w:hAnsi="Arial" w:cs="Arial"/>
          <w:color w:val="2B2B2B"/>
          <w:kern w:val="0"/>
          <w:sz w:val="32"/>
          <w:szCs w:val="32"/>
        </w:rPr>
        <w:t>至</w:t>
      </w:r>
      <w:r w:rsidRPr="00757FDB">
        <w:rPr>
          <w:rFonts w:ascii="Arial" w:hAnsi="Arial" w:cs="Arial"/>
          <w:color w:val="2B2B2B"/>
          <w:kern w:val="0"/>
          <w:sz w:val="32"/>
          <w:szCs w:val="32"/>
        </w:rPr>
        <w:t>4</w:t>
      </w:r>
      <w:r w:rsidRPr="00757FDB">
        <w:rPr>
          <w:rFonts w:ascii="Arial" w:hAnsi="Arial" w:cs="Arial"/>
          <w:color w:val="2B2B2B"/>
          <w:kern w:val="0"/>
          <w:sz w:val="32"/>
          <w:szCs w:val="32"/>
        </w:rPr>
        <w:t>月龄期间，只能饲喂高质量、多叶的饲草，同时应限制数量，应少于日粮组成的</w:t>
      </w:r>
      <w:r w:rsidRPr="00757FDB">
        <w:rPr>
          <w:rFonts w:ascii="Arial" w:hAnsi="Arial" w:cs="Arial"/>
          <w:color w:val="2B2B2B"/>
          <w:kern w:val="0"/>
          <w:sz w:val="32"/>
          <w:szCs w:val="32"/>
        </w:rPr>
        <w:t>10%</w:t>
      </w:r>
      <w:r w:rsidRPr="00757FDB">
        <w:rPr>
          <w:rFonts w:ascii="Arial" w:hAnsi="Arial" w:cs="Arial"/>
          <w:color w:val="2B2B2B"/>
          <w:kern w:val="0"/>
          <w:sz w:val="32"/>
          <w:szCs w:val="32"/>
        </w:rPr>
        <w:t>，最好仅占</w:t>
      </w:r>
      <w:r w:rsidRPr="00757FDB">
        <w:rPr>
          <w:rFonts w:ascii="Arial" w:hAnsi="Arial" w:cs="Arial"/>
          <w:color w:val="2B2B2B"/>
          <w:kern w:val="0"/>
          <w:sz w:val="32"/>
          <w:szCs w:val="32"/>
        </w:rPr>
        <w:t>5%</w:t>
      </w:r>
      <w:r w:rsidRPr="00757FDB">
        <w:rPr>
          <w:rFonts w:ascii="Arial" w:hAnsi="Arial" w:cs="Arial"/>
          <w:color w:val="2B2B2B"/>
          <w:kern w:val="0"/>
          <w:sz w:val="32"/>
          <w:szCs w:val="32"/>
        </w:rPr>
        <w:t>。在此阶段，每天饲喂干草量应控制在</w:t>
      </w:r>
      <w:r w:rsidRPr="00757FDB">
        <w:rPr>
          <w:rFonts w:ascii="Arial" w:hAnsi="Arial" w:cs="Arial"/>
          <w:color w:val="2B2B2B"/>
          <w:kern w:val="0"/>
          <w:sz w:val="32"/>
          <w:szCs w:val="32"/>
        </w:rPr>
        <w:t>0.14</w:t>
      </w:r>
      <w:r w:rsidRPr="00757FDB">
        <w:rPr>
          <w:rFonts w:ascii="Arial" w:hAnsi="Arial" w:cs="Arial"/>
          <w:color w:val="2B2B2B"/>
          <w:kern w:val="0"/>
          <w:sz w:val="32"/>
          <w:szCs w:val="32"/>
        </w:rPr>
        <w:t>公斤至</w:t>
      </w:r>
      <w:r w:rsidRPr="00757FDB">
        <w:rPr>
          <w:rFonts w:ascii="Arial" w:hAnsi="Arial" w:cs="Arial"/>
          <w:color w:val="2B2B2B"/>
          <w:kern w:val="0"/>
          <w:sz w:val="32"/>
          <w:szCs w:val="32"/>
        </w:rPr>
        <w:t>0.27</w:t>
      </w:r>
      <w:r w:rsidRPr="00757FDB">
        <w:rPr>
          <w:rFonts w:ascii="Arial" w:hAnsi="Arial" w:cs="Arial"/>
          <w:color w:val="2B2B2B"/>
          <w:kern w:val="0"/>
          <w:sz w:val="32"/>
          <w:szCs w:val="32"/>
        </w:rPr>
        <w:t>公斤之间。</w:t>
      </w:r>
      <w:r w:rsidRPr="00757FDB">
        <w:rPr>
          <w:rFonts w:ascii="Arial" w:hAnsi="Arial" w:cs="Arial"/>
          <w:color w:val="2B2B2B"/>
          <w:kern w:val="0"/>
          <w:sz w:val="32"/>
          <w:szCs w:val="32"/>
        </w:rPr>
        <w:br/>
      </w:r>
      <w:r w:rsidRPr="005867B2">
        <w:rPr>
          <w:rFonts w:ascii="Arial" w:hAnsi="Arial" w:cs="Arial"/>
          <w:color w:val="2B2B2B"/>
          <w:kern w:val="0"/>
          <w:szCs w:val="21"/>
        </w:rPr>
        <w:lastRenderedPageBreak/>
        <w:t xml:space="preserve">       </w:t>
      </w:r>
      <w:r>
        <w:rPr>
          <w:rFonts w:ascii="Arial" w:hAnsi="Arial" w:cs="Arial"/>
          <w:noProof/>
          <w:color w:val="2B2B2B"/>
          <w:kern w:val="0"/>
          <w:szCs w:val="21"/>
        </w:rPr>
        <w:drawing>
          <wp:inline distT="0" distB="0" distL="0" distR="0">
            <wp:extent cx="5467350" cy="4752975"/>
            <wp:effectExtent l="19050" t="0" r="0" b="0"/>
            <wp:docPr id="1" name="图片 1" descr="20110210091527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210091527413"/>
                    <pic:cNvPicPr>
                      <a:picLocks noChangeAspect="1" noChangeArrowheads="1"/>
                    </pic:cNvPicPr>
                  </pic:nvPicPr>
                  <pic:blipFill>
                    <a:blip r:embed="rId6"/>
                    <a:srcRect/>
                    <a:stretch>
                      <a:fillRect/>
                    </a:stretch>
                  </pic:blipFill>
                  <pic:spPr bwMode="auto">
                    <a:xfrm>
                      <a:off x="0" y="0"/>
                      <a:ext cx="5467350" cy="4752975"/>
                    </a:xfrm>
                    <a:prstGeom prst="rect">
                      <a:avLst/>
                    </a:prstGeom>
                    <a:noFill/>
                    <a:ln w="9525">
                      <a:noFill/>
                      <a:miter lim="800000"/>
                      <a:headEnd/>
                      <a:tailEnd/>
                    </a:ln>
                  </pic:spPr>
                </pic:pic>
              </a:graphicData>
            </a:graphic>
          </wp:inline>
        </w:drawing>
      </w:r>
    </w:p>
    <w:p w:rsidR="0037512C" w:rsidRPr="005867B2" w:rsidRDefault="0037512C" w:rsidP="0037512C">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noProof/>
          <w:color w:val="2B2B2B"/>
          <w:kern w:val="0"/>
          <w:szCs w:val="21"/>
        </w:rPr>
        <w:drawing>
          <wp:inline distT="0" distB="0" distL="0" distR="0">
            <wp:extent cx="4724400" cy="3381375"/>
            <wp:effectExtent l="19050" t="0" r="0" b="0"/>
            <wp:docPr id="2" name="图片 2" descr="2011021009185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210091853695"/>
                    <pic:cNvPicPr>
                      <a:picLocks noChangeAspect="1" noChangeArrowheads="1"/>
                    </pic:cNvPicPr>
                  </pic:nvPicPr>
                  <pic:blipFill>
                    <a:blip r:embed="rId7"/>
                    <a:srcRect/>
                    <a:stretch>
                      <a:fillRect/>
                    </a:stretch>
                  </pic:blipFill>
                  <pic:spPr bwMode="auto">
                    <a:xfrm>
                      <a:off x="0" y="0"/>
                      <a:ext cx="4724400" cy="3381375"/>
                    </a:xfrm>
                    <a:prstGeom prst="rect">
                      <a:avLst/>
                    </a:prstGeom>
                    <a:noFill/>
                    <a:ln w="9525">
                      <a:noFill/>
                      <a:miter lim="800000"/>
                      <a:headEnd/>
                      <a:tailEnd/>
                    </a:ln>
                  </pic:spPr>
                </pic:pic>
              </a:graphicData>
            </a:graphic>
          </wp:inline>
        </w:drawing>
      </w:r>
    </w:p>
    <w:p w:rsidR="0024237E" w:rsidRDefault="0024237E" w:rsidP="0024237E">
      <w:pPr>
        <w:pStyle w:val="a7"/>
        <w:ind w:firstLine="480"/>
        <w:rPr>
          <w:rFonts w:ascii="黑体" w:eastAsia="黑体" w:hAnsi="黑体"/>
          <w:color w:val="000000"/>
          <w:sz w:val="21"/>
          <w:szCs w:val="21"/>
        </w:rPr>
      </w:pPr>
      <w:r>
        <w:rPr>
          <w:rFonts w:ascii="黑体" w:eastAsia="黑体" w:hAnsi="黑体" w:hint="eastAsia"/>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24237E" w:rsidRDefault="0024237E" w:rsidP="0024237E">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4237E" w:rsidRDefault="0024237E" w:rsidP="0024237E">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4237E" w:rsidRDefault="00C00147" w:rsidP="0024237E">
      <w:pPr>
        <w:pStyle w:val="a7"/>
        <w:ind w:firstLine="480"/>
        <w:jc w:val="center"/>
        <w:rPr>
          <w:rFonts w:ascii="黑体" w:eastAsia="黑体" w:hAnsi="黑体"/>
          <w:b/>
          <w:color w:val="FF0000"/>
          <w:sz w:val="21"/>
          <w:szCs w:val="21"/>
          <w:u w:val="single"/>
        </w:rPr>
      </w:pPr>
      <w:hyperlink r:id="rId9" w:history="1">
        <w:r w:rsidR="0024237E">
          <w:rPr>
            <w:rStyle w:val="a5"/>
            <w:rFonts w:ascii="黑体" w:eastAsia="黑体" w:hAnsi="黑体" w:hint="eastAsia"/>
            <w:b/>
            <w:color w:val="FF0000"/>
            <w:sz w:val="21"/>
            <w:szCs w:val="21"/>
            <w:u w:val="single"/>
          </w:rPr>
          <w:t>下载：智能二代(Genetic Algorithm)饲料配方软件(猪、鸡饲料配方计算)</w:t>
        </w:r>
      </w:hyperlink>
    </w:p>
    <w:p w:rsidR="0024237E" w:rsidRDefault="0024237E" w:rsidP="0024237E">
      <w:pPr>
        <w:jc w:val="center"/>
        <w:rPr>
          <w:rFonts w:ascii="黑体" w:eastAsia="黑体" w:hAnsi="黑体"/>
          <w:b/>
          <w:color w:val="FF0000"/>
          <w:szCs w:val="21"/>
        </w:rPr>
      </w:pPr>
    </w:p>
    <w:p w:rsidR="0024237E" w:rsidRDefault="00C00147" w:rsidP="0024237E">
      <w:pPr>
        <w:jc w:val="center"/>
        <w:rPr>
          <w:rFonts w:ascii="黑体" w:eastAsia="黑体" w:hAnsi="黑体"/>
          <w:b/>
          <w:color w:val="FF0000"/>
          <w:szCs w:val="21"/>
          <w:u w:val="single"/>
        </w:rPr>
      </w:pPr>
      <w:hyperlink r:id="rId10" w:history="1">
        <w:r w:rsidR="0024237E">
          <w:rPr>
            <w:rStyle w:val="a5"/>
            <w:rFonts w:ascii="黑体" w:eastAsia="黑体" w:hAnsi="黑体" w:hint="eastAsia"/>
            <w:b/>
            <w:color w:val="FF0000"/>
            <w:szCs w:val="21"/>
            <w:u w:val="single"/>
          </w:rPr>
          <w:t>下载1：Feed mix 反刍营养百分百-饲料配方软件(第四版)</w:t>
        </w:r>
      </w:hyperlink>
    </w:p>
    <w:p w:rsidR="0024237E" w:rsidRDefault="0024237E" w:rsidP="0024237E">
      <w:pPr>
        <w:jc w:val="center"/>
        <w:rPr>
          <w:rFonts w:ascii="黑体" w:eastAsia="黑体" w:hAnsi="黑体"/>
          <w:b/>
          <w:color w:val="0070C0"/>
          <w:szCs w:val="21"/>
        </w:rPr>
      </w:pPr>
      <w:r>
        <w:rPr>
          <w:rFonts w:ascii="黑体" w:eastAsia="黑体" w:hAnsi="黑体" w:hint="eastAsia"/>
          <w:b/>
          <w:color w:val="0070C0"/>
          <w:szCs w:val="21"/>
        </w:rPr>
        <w:t>QQ:1400072515</w:t>
      </w:r>
    </w:p>
    <w:p w:rsidR="0024237E" w:rsidRDefault="00C00147" w:rsidP="0024237E">
      <w:pPr>
        <w:jc w:val="center"/>
        <w:rPr>
          <w:rFonts w:ascii="黑体" w:eastAsia="黑体" w:hAnsi="黑体"/>
          <w:b/>
          <w:color w:val="FF0000"/>
          <w:szCs w:val="21"/>
          <w:u w:val="single"/>
        </w:rPr>
      </w:pPr>
      <w:hyperlink r:id="rId11" w:history="1">
        <w:r w:rsidR="0024237E">
          <w:rPr>
            <w:rStyle w:val="a5"/>
            <w:rFonts w:ascii="黑体" w:eastAsia="黑体" w:hAnsi="黑体" w:hint="eastAsia"/>
            <w:b/>
            <w:color w:val="FF0000"/>
            <w:szCs w:val="21"/>
            <w:u w:val="single"/>
          </w:rPr>
          <w:t>下载2：Feed mix 反刍营养百分百-饲料配方软件(第四版)</w:t>
        </w:r>
      </w:hyperlink>
    </w:p>
    <w:p w:rsidR="00492F08" w:rsidRDefault="00492F08" w:rsidP="00492F0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492F08" w:rsidRDefault="00492F08" w:rsidP="00492F08">
      <w:pPr>
        <w:jc w:val="left"/>
        <w:rPr>
          <w:rFonts w:hint="eastAsia"/>
        </w:rPr>
      </w:pPr>
    </w:p>
    <w:p w:rsidR="0024237E" w:rsidRPr="00492F08" w:rsidRDefault="0024237E" w:rsidP="0024237E">
      <w:pPr>
        <w:jc w:val="center"/>
        <w:rPr>
          <w:sz w:val="28"/>
          <w:szCs w:val="20"/>
        </w:rPr>
      </w:pPr>
    </w:p>
    <w:p w:rsidR="00660599" w:rsidRPr="0024237E" w:rsidRDefault="00660599" w:rsidP="0024237E">
      <w:pPr>
        <w:widowControl/>
        <w:shd w:val="clear" w:color="auto" w:fill="F7F8FB"/>
        <w:spacing w:before="100" w:beforeAutospacing="1" w:after="100" w:afterAutospacing="1"/>
        <w:jc w:val="left"/>
      </w:pPr>
    </w:p>
    <w:sectPr w:rsidR="00660599" w:rsidRPr="0024237E" w:rsidSect="00490F96">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CD1" w:rsidRDefault="00231CD1" w:rsidP="0037512C">
      <w:r>
        <w:separator/>
      </w:r>
    </w:p>
  </w:endnote>
  <w:endnote w:type="continuationSeparator" w:id="1">
    <w:p w:rsidR="00231CD1" w:rsidRDefault="00231CD1" w:rsidP="003751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CD1" w:rsidRDefault="00231CD1" w:rsidP="0037512C">
      <w:r>
        <w:separator/>
      </w:r>
    </w:p>
  </w:footnote>
  <w:footnote w:type="continuationSeparator" w:id="1">
    <w:p w:rsidR="00231CD1" w:rsidRDefault="00231CD1" w:rsidP="00375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FDB" w:rsidRDefault="00757FDB">
    <w:pPr>
      <w:pStyle w:val="a3"/>
    </w:pPr>
    <w:r w:rsidRPr="00757FDB">
      <w:rPr>
        <w:rFonts w:hint="eastAsia"/>
      </w:rPr>
      <w:t xml:space="preserve">Feed mix </w:t>
    </w:r>
    <w:r w:rsidRPr="00757FDB">
      <w:rPr>
        <w:rFonts w:hint="eastAsia"/>
      </w:rPr>
      <w:t>反刍营养百分百饲料软件</w:t>
    </w:r>
    <w:r w:rsidRPr="00757FDB">
      <w:rPr>
        <w:rFonts w:hint="eastAsia"/>
      </w:rPr>
      <w:t>(</w:t>
    </w:r>
    <w:r w:rsidRPr="00757FDB">
      <w:rPr>
        <w:rFonts w:hint="eastAsia"/>
      </w:rPr>
      <w:t>奶牛、肉牛、肉羊等饲料计算</w:t>
    </w:r>
    <w:r w:rsidRPr="00757FD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512C"/>
    <w:rsid w:val="00231CD1"/>
    <w:rsid w:val="0024237E"/>
    <w:rsid w:val="0037512C"/>
    <w:rsid w:val="00490F96"/>
    <w:rsid w:val="00492F08"/>
    <w:rsid w:val="004F44D5"/>
    <w:rsid w:val="00660599"/>
    <w:rsid w:val="00682C25"/>
    <w:rsid w:val="00757FDB"/>
    <w:rsid w:val="00C00147"/>
    <w:rsid w:val="00D13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1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51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512C"/>
    <w:rPr>
      <w:sz w:val="18"/>
      <w:szCs w:val="18"/>
    </w:rPr>
  </w:style>
  <w:style w:type="paragraph" w:styleId="a4">
    <w:name w:val="footer"/>
    <w:basedOn w:val="a"/>
    <w:link w:val="Char0"/>
    <w:uiPriority w:val="99"/>
    <w:semiHidden/>
    <w:unhideWhenUsed/>
    <w:rsid w:val="003751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512C"/>
    <w:rPr>
      <w:sz w:val="18"/>
      <w:szCs w:val="18"/>
    </w:rPr>
  </w:style>
  <w:style w:type="character" w:styleId="a5">
    <w:name w:val="Hyperlink"/>
    <w:basedOn w:val="a0"/>
    <w:rsid w:val="0037512C"/>
    <w:rPr>
      <w:strike w:val="0"/>
      <w:dstrike w:val="0"/>
      <w:color w:val="000000"/>
      <w:u w:val="none"/>
      <w:effect w:val="none"/>
    </w:rPr>
  </w:style>
  <w:style w:type="paragraph" w:styleId="a6">
    <w:name w:val="Balloon Text"/>
    <w:basedOn w:val="a"/>
    <w:link w:val="Char1"/>
    <w:uiPriority w:val="99"/>
    <w:semiHidden/>
    <w:unhideWhenUsed/>
    <w:rsid w:val="0037512C"/>
    <w:rPr>
      <w:sz w:val="18"/>
      <w:szCs w:val="18"/>
    </w:rPr>
  </w:style>
  <w:style w:type="character" w:customStyle="1" w:styleId="Char1">
    <w:name w:val="批注框文本 Char"/>
    <w:basedOn w:val="a0"/>
    <w:link w:val="a6"/>
    <w:uiPriority w:val="99"/>
    <w:semiHidden/>
    <w:rsid w:val="0037512C"/>
    <w:rPr>
      <w:rFonts w:ascii="Times New Roman" w:eastAsia="宋体" w:hAnsi="Times New Roman" w:cs="Times New Roman"/>
      <w:sz w:val="18"/>
      <w:szCs w:val="18"/>
    </w:rPr>
  </w:style>
  <w:style w:type="paragraph" w:styleId="a7">
    <w:name w:val="Normal (Web)"/>
    <w:basedOn w:val="a"/>
    <w:uiPriority w:val="99"/>
    <w:semiHidden/>
    <w:unhideWhenUsed/>
    <w:rsid w:val="0024237E"/>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24237E"/>
    <w:rPr>
      <w:b/>
      <w:bCs/>
    </w:rPr>
  </w:style>
</w:styles>
</file>

<file path=word/webSettings.xml><?xml version="1.0" encoding="utf-8"?>
<w:webSettings xmlns:r="http://schemas.openxmlformats.org/officeDocument/2006/relationships" xmlns:w="http://schemas.openxmlformats.org/wordprocessingml/2006/main">
  <w:divs>
    <w:div w:id="548494135">
      <w:bodyDiv w:val="1"/>
      <w:marLeft w:val="0"/>
      <w:marRight w:val="0"/>
      <w:marTop w:val="0"/>
      <w:marBottom w:val="0"/>
      <w:divBdr>
        <w:top w:val="none" w:sz="0" w:space="0" w:color="auto"/>
        <w:left w:val="none" w:sz="0" w:space="0" w:color="auto"/>
        <w:bottom w:val="none" w:sz="0" w:space="0" w:color="auto"/>
        <w:right w:val="none" w:sz="0" w:space="0" w:color="auto"/>
      </w:divBdr>
    </w:div>
    <w:div w:id="140020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795</Words>
  <Characters>4535</Characters>
  <Application>Microsoft Office Word</Application>
  <DocSecurity>0</DocSecurity>
  <Lines>37</Lines>
  <Paragraphs>10</Paragraphs>
  <ScaleCrop>false</ScaleCrop>
  <Company/>
  <LinksUpToDate>false</LinksUpToDate>
  <CharactersWithSpaces>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2014-07-03T02:09:00Z</dcterms:created>
  <dcterms:modified xsi:type="dcterms:W3CDTF">2015-01-06T00:33:00Z</dcterms:modified>
</cp:coreProperties>
</file>